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4"/>
          <w:szCs w:val="24"/>
        </w:rPr>
      </w:pPr>
    </w:p>
    <w:p>
      <w:pPr>
        <w:ind w:firstLine="562" w:firstLineChars="200"/>
        <w:rPr>
          <w:sz w:val="24"/>
          <w:szCs w:val="24"/>
          <w:lang w:val="en-US"/>
        </w:rPr>
      </w:pPr>
      <w:r>
        <w:rPr>
          <w:rFonts w:hint="eastAsia"/>
          <w:b/>
          <w:bCs/>
          <w:sz w:val="28"/>
          <w:szCs w:val="28"/>
        </w:rPr>
        <w:t>16. 电子信息工程技术专业</w:t>
      </w:r>
    </w:p>
    <w:p>
      <w:pPr>
        <w:ind w:firstLine="562" w:firstLineChars="200"/>
        <w:rPr>
          <w:b/>
          <w:bCs/>
          <w:sz w:val="28"/>
          <w:szCs w:val="28"/>
        </w:rPr>
      </w:pPr>
    </w:p>
    <w:p>
      <w:pPr>
        <w:spacing w:line="312" w:lineRule="auto"/>
        <w:ind w:firstLine="562" w:firstLineChars="200"/>
        <w:rPr>
          <w:sz w:val="24"/>
          <w:szCs w:val="24"/>
        </w:rPr>
      </w:pPr>
      <w:r>
        <w:rPr>
          <w:b/>
          <w:bCs/>
          <w:sz w:val="28"/>
          <w:szCs w:val="28"/>
          <w:lang w:val="en-US"/>
        </w:rPr>
        <w:t>1</w:t>
      </w:r>
      <w:r>
        <w:rPr>
          <w:rFonts w:hint="eastAsia"/>
          <w:b/>
          <w:bCs/>
          <w:sz w:val="28"/>
          <w:szCs w:val="28"/>
          <w:lang w:val="en-US"/>
        </w:rPr>
        <w:t>6</w:t>
      </w:r>
      <w:r>
        <w:rPr>
          <w:b/>
          <w:bCs/>
          <w:sz w:val="28"/>
          <w:szCs w:val="28"/>
          <w:lang w:val="en-US"/>
        </w:rPr>
        <w:t xml:space="preserve">.1 </w:t>
      </w:r>
      <w:r>
        <w:rPr>
          <w:rFonts w:hint="eastAsia"/>
          <w:b/>
          <w:bCs/>
          <w:sz w:val="28"/>
          <w:szCs w:val="28"/>
          <w:lang w:val="en-US"/>
        </w:rPr>
        <w:t xml:space="preserve"> </w:t>
      </w:r>
      <w:r>
        <w:rPr>
          <w:rFonts w:hint="eastAsia"/>
          <w:b/>
          <w:bCs/>
          <w:sz w:val="28"/>
          <w:szCs w:val="28"/>
        </w:rPr>
        <w:t>前言</w:t>
      </w:r>
    </w:p>
    <w:p>
      <w:pPr>
        <w:spacing w:line="312" w:lineRule="auto"/>
        <w:ind w:firstLine="480" w:firstLineChars="200"/>
        <w:rPr>
          <w:sz w:val="24"/>
          <w:szCs w:val="24"/>
        </w:rPr>
      </w:pPr>
      <w:r>
        <w:rPr>
          <w:sz w:val="24"/>
          <w:szCs w:val="24"/>
        </w:rPr>
        <w:t>2001年，根据人才市场的用人需求实际情况，我校开设了电子信息工程技术专业。经过不断的专业建设和规模发展，2009年本专业被学校确认为六大重点建设专业之一，2012年顺利通过结题验收。</w:t>
      </w:r>
    </w:p>
    <w:p>
      <w:pPr>
        <w:spacing w:line="312" w:lineRule="auto"/>
        <w:ind w:firstLine="480" w:firstLineChars="200"/>
        <w:rPr>
          <w:sz w:val="24"/>
          <w:szCs w:val="24"/>
        </w:rPr>
      </w:pPr>
      <w:r>
        <w:rPr>
          <w:rFonts w:hint="eastAsia"/>
          <w:sz w:val="24"/>
          <w:szCs w:val="24"/>
        </w:rPr>
        <w:t>顺应珠三角地区对电子信息人才的需求，专业采用市场和技能素质为导向，项目任务为驱动，学习领域培育为框架的人才培养模式。采用理论和实践相结合，知识传授和经验感知相结合，课堂学习和岗位实际工作相结合的教学方法，促使学生实际能力的形成，使其能够胜任各类企事业单位的选人、用人、发展人的工作，帮助实现组织和个人两方面的成功。</w:t>
      </w:r>
    </w:p>
    <w:p>
      <w:pPr>
        <w:spacing w:line="312" w:lineRule="auto"/>
        <w:ind w:firstLine="480" w:firstLineChars="200"/>
        <w:rPr>
          <w:sz w:val="24"/>
          <w:szCs w:val="24"/>
        </w:rPr>
      </w:pPr>
      <w:r>
        <w:rPr>
          <w:rFonts w:hint="eastAsia"/>
          <w:sz w:val="24"/>
          <w:szCs w:val="24"/>
        </w:rPr>
        <w:t>专业紧跟行业发展，旨在培养具备常用仪器仪表的使用能力、电子元器件的测试能力、电子产品的焊接与装配能力；具备单片机电子系统、</w:t>
      </w:r>
      <w:r>
        <w:rPr>
          <w:sz w:val="24"/>
          <w:szCs w:val="24"/>
        </w:rPr>
        <w:t>EDA电子系统的研发、安装、调试与维修能力；具备电子产品技术文件的收集、编制与处理能力的高级技术技能型人才。</w:t>
      </w:r>
    </w:p>
    <w:p>
      <w:pPr>
        <w:spacing w:line="312" w:lineRule="auto"/>
        <w:ind w:firstLine="551" w:firstLineChars="196"/>
        <w:rPr>
          <w:b/>
          <w:bCs/>
          <w:sz w:val="24"/>
          <w:szCs w:val="24"/>
        </w:rPr>
      </w:pPr>
      <w:r>
        <w:rPr>
          <w:b/>
          <w:bCs/>
          <w:sz w:val="28"/>
          <w:szCs w:val="28"/>
          <w:lang w:val="en-US"/>
        </w:rPr>
        <w:t>1</w:t>
      </w:r>
      <w:r>
        <w:rPr>
          <w:rFonts w:hint="eastAsia"/>
          <w:b/>
          <w:bCs/>
          <w:sz w:val="28"/>
          <w:szCs w:val="28"/>
          <w:lang w:val="en-US"/>
        </w:rPr>
        <w:t>6</w:t>
      </w:r>
      <w:r>
        <w:rPr>
          <w:b/>
          <w:bCs/>
          <w:sz w:val="28"/>
          <w:szCs w:val="28"/>
          <w:lang w:val="en-US"/>
        </w:rPr>
        <w:t xml:space="preserve">.2 </w:t>
      </w:r>
      <w:r>
        <w:rPr>
          <w:rFonts w:hint="eastAsia"/>
          <w:b/>
          <w:bCs/>
          <w:sz w:val="28"/>
          <w:szCs w:val="28"/>
          <w:lang w:val="en-US"/>
        </w:rPr>
        <w:t xml:space="preserve"> </w:t>
      </w:r>
      <w:r>
        <w:rPr>
          <w:rFonts w:hint="eastAsia"/>
          <w:b/>
          <w:bCs/>
          <w:sz w:val="28"/>
          <w:szCs w:val="28"/>
        </w:rPr>
        <w:t>主要信息</w:t>
      </w:r>
    </w:p>
    <w:p>
      <w:pPr>
        <w:spacing w:line="312" w:lineRule="auto"/>
        <w:ind w:firstLine="482" w:firstLineChars="200"/>
        <w:rPr>
          <w:b/>
          <w:bCs/>
          <w:sz w:val="24"/>
          <w:szCs w:val="24"/>
        </w:rPr>
      </w:pPr>
      <w:r>
        <w:rPr>
          <w:rFonts w:hint="eastAsia"/>
          <w:b/>
          <w:bCs/>
          <w:sz w:val="24"/>
          <w:szCs w:val="24"/>
          <w:lang w:val="en-US"/>
        </w:rPr>
        <w:t xml:space="preserve">16.2.1 </w:t>
      </w:r>
      <w:r>
        <w:rPr>
          <w:rFonts w:hint="eastAsia"/>
          <w:b/>
          <w:bCs/>
          <w:sz w:val="24"/>
          <w:szCs w:val="24"/>
        </w:rPr>
        <w:t>专业名称和专业代码</w:t>
      </w:r>
    </w:p>
    <w:p>
      <w:pPr>
        <w:spacing w:line="312" w:lineRule="auto"/>
        <w:ind w:firstLine="480" w:firstLineChars="200"/>
        <w:rPr>
          <w:sz w:val="24"/>
          <w:szCs w:val="24"/>
        </w:rPr>
      </w:pPr>
      <w:r>
        <w:rPr>
          <w:rFonts w:hint="eastAsia"/>
          <w:sz w:val="24"/>
          <w:szCs w:val="24"/>
        </w:rPr>
        <w:t>电子信息工程技术专业（</w:t>
      </w:r>
      <w:r>
        <w:rPr>
          <w:sz w:val="24"/>
          <w:szCs w:val="24"/>
        </w:rPr>
        <w:t>510101）</w:t>
      </w:r>
    </w:p>
    <w:p>
      <w:pPr>
        <w:spacing w:line="312" w:lineRule="auto"/>
        <w:ind w:firstLine="480" w:firstLineChars="200"/>
        <w:rPr>
          <w:sz w:val="24"/>
          <w:szCs w:val="24"/>
        </w:rPr>
      </w:pPr>
    </w:p>
    <w:p>
      <w:pPr>
        <w:spacing w:line="312" w:lineRule="auto"/>
        <w:ind w:firstLine="482" w:firstLineChars="200"/>
        <w:rPr>
          <w:b/>
          <w:bCs/>
          <w:sz w:val="24"/>
          <w:szCs w:val="24"/>
        </w:rPr>
      </w:pPr>
      <w:r>
        <w:rPr>
          <w:rFonts w:hint="eastAsia"/>
          <w:b/>
          <w:bCs/>
          <w:sz w:val="24"/>
          <w:szCs w:val="24"/>
          <w:lang w:val="en-US"/>
        </w:rPr>
        <w:t xml:space="preserve">16.2.2 </w:t>
      </w:r>
      <w:r>
        <w:rPr>
          <w:rFonts w:hint="eastAsia"/>
          <w:b/>
          <w:bCs/>
          <w:sz w:val="24"/>
          <w:szCs w:val="24"/>
        </w:rPr>
        <w:t>所属学院</w:t>
      </w:r>
    </w:p>
    <w:p>
      <w:pPr>
        <w:spacing w:line="312" w:lineRule="auto"/>
        <w:ind w:firstLine="480" w:firstLineChars="200"/>
        <w:rPr>
          <w:sz w:val="24"/>
          <w:szCs w:val="24"/>
        </w:rPr>
      </w:pPr>
      <w:r>
        <w:rPr>
          <w:rFonts w:hint="eastAsia"/>
          <w:sz w:val="24"/>
          <w:szCs w:val="24"/>
        </w:rPr>
        <w:t>信息工程学院</w:t>
      </w:r>
    </w:p>
    <w:p>
      <w:pPr>
        <w:spacing w:line="312" w:lineRule="auto"/>
        <w:ind w:firstLine="480" w:firstLineChars="200"/>
        <w:rPr>
          <w:sz w:val="24"/>
          <w:szCs w:val="24"/>
        </w:rPr>
      </w:pPr>
    </w:p>
    <w:p>
      <w:pPr>
        <w:spacing w:line="312" w:lineRule="auto"/>
        <w:ind w:firstLine="482" w:firstLineChars="200"/>
        <w:rPr>
          <w:b/>
          <w:bCs/>
          <w:sz w:val="24"/>
          <w:szCs w:val="24"/>
        </w:rPr>
      </w:pPr>
      <w:r>
        <w:rPr>
          <w:rFonts w:hint="eastAsia"/>
          <w:b/>
          <w:bCs/>
          <w:sz w:val="24"/>
          <w:szCs w:val="24"/>
          <w:lang w:val="en-US"/>
        </w:rPr>
        <w:t xml:space="preserve">16.2.3 </w:t>
      </w:r>
      <w:r>
        <w:rPr>
          <w:rFonts w:hint="eastAsia"/>
          <w:b/>
          <w:bCs/>
          <w:sz w:val="24"/>
          <w:szCs w:val="24"/>
        </w:rPr>
        <w:t>颁授证书名称</w:t>
      </w:r>
    </w:p>
    <w:p>
      <w:pPr>
        <w:spacing w:line="312" w:lineRule="auto"/>
        <w:ind w:firstLine="480" w:firstLineChars="200"/>
        <w:rPr>
          <w:sz w:val="24"/>
          <w:szCs w:val="24"/>
        </w:rPr>
      </w:pPr>
      <w:r>
        <w:rPr>
          <w:rFonts w:hint="eastAsia"/>
          <w:sz w:val="24"/>
          <w:szCs w:val="24"/>
        </w:rPr>
        <w:t>电子信息工程技术专业专科毕业证书</w:t>
      </w:r>
      <w:r>
        <w:rPr>
          <w:sz w:val="24"/>
          <w:szCs w:val="24"/>
        </w:rPr>
        <w:t>,副学士荣誉称号证书</w:t>
      </w:r>
    </w:p>
    <w:p>
      <w:pPr>
        <w:spacing w:line="312" w:lineRule="auto"/>
        <w:ind w:firstLine="480" w:firstLineChars="200"/>
        <w:rPr>
          <w:sz w:val="24"/>
          <w:szCs w:val="24"/>
        </w:rPr>
      </w:pPr>
    </w:p>
    <w:p>
      <w:pPr>
        <w:spacing w:line="312" w:lineRule="auto"/>
        <w:ind w:firstLine="482" w:firstLineChars="200"/>
        <w:rPr>
          <w:b/>
          <w:bCs/>
          <w:sz w:val="24"/>
          <w:szCs w:val="24"/>
        </w:rPr>
      </w:pPr>
      <w:r>
        <w:rPr>
          <w:rFonts w:hint="eastAsia"/>
          <w:b/>
          <w:bCs/>
          <w:sz w:val="24"/>
          <w:szCs w:val="24"/>
          <w:lang w:val="en-US"/>
        </w:rPr>
        <w:t xml:space="preserve">16.2.4 </w:t>
      </w:r>
      <w:r>
        <w:rPr>
          <w:rFonts w:hint="eastAsia"/>
          <w:b/>
          <w:bCs/>
          <w:sz w:val="24"/>
          <w:szCs w:val="24"/>
        </w:rPr>
        <w:t>招生面向与入学要求</w:t>
      </w:r>
    </w:p>
    <w:p>
      <w:pPr>
        <w:spacing w:line="312" w:lineRule="auto"/>
        <w:ind w:firstLine="480" w:firstLineChars="200"/>
        <w:rPr>
          <w:bCs/>
          <w:sz w:val="24"/>
          <w:szCs w:val="24"/>
        </w:rPr>
      </w:pPr>
      <w:r>
        <w:rPr>
          <w:rFonts w:hint="eastAsia"/>
          <w:bCs/>
          <w:sz w:val="24"/>
          <w:szCs w:val="24"/>
        </w:rPr>
        <w:t>普通高级中学毕业、中等职业学校毕业或具备同等学历</w:t>
      </w: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0" w:firstLineChars="200"/>
        <w:rPr>
          <w:bCs/>
          <w:sz w:val="24"/>
          <w:szCs w:val="24"/>
        </w:rPr>
      </w:pPr>
    </w:p>
    <w:p>
      <w:pPr>
        <w:spacing w:line="312" w:lineRule="auto"/>
        <w:ind w:firstLine="482" w:firstLineChars="200"/>
        <w:rPr>
          <w:b/>
          <w:bCs/>
          <w:sz w:val="24"/>
          <w:szCs w:val="24"/>
        </w:rPr>
      </w:pPr>
      <w:r>
        <w:rPr>
          <w:rFonts w:hint="eastAsia"/>
          <w:b/>
          <w:bCs/>
          <w:sz w:val="24"/>
          <w:szCs w:val="24"/>
          <w:lang w:val="en-US"/>
        </w:rPr>
        <w:t xml:space="preserve">16.2.5 </w:t>
      </w:r>
      <w:r>
        <w:rPr>
          <w:rFonts w:hint="eastAsia"/>
          <w:b/>
          <w:bCs/>
          <w:sz w:val="24"/>
          <w:szCs w:val="24"/>
        </w:rPr>
        <w:t>就业面向</w:t>
      </w:r>
    </w:p>
    <w:p>
      <w:pPr>
        <w:jc w:val="center"/>
        <w:rPr>
          <w:sz w:val="24"/>
          <w:szCs w:val="24"/>
        </w:rPr>
      </w:pPr>
      <w:r>
        <w:rPr>
          <w:sz w:val="24"/>
          <w:szCs w:val="24"/>
        </w:rPr>
        <w:t>表1</w:t>
      </w:r>
      <w:r>
        <w:rPr>
          <w:rFonts w:hint="eastAsia"/>
          <w:sz w:val="24"/>
          <w:szCs w:val="24"/>
        </w:rPr>
        <w:t>6</w:t>
      </w:r>
      <w:r>
        <w:rPr>
          <w:sz w:val="24"/>
          <w:szCs w:val="24"/>
        </w:rPr>
        <w:t>-1 就业方向、岗位民主要工作内容表</w:t>
      </w:r>
    </w:p>
    <w:tbl>
      <w:tblPr>
        <w:tblStyle w:val="7"/>
        <w:tblpPr w:leftFromText="180" w:rightFromText="180" w:vertAnchor="text" w:horzAnchor="page" w:tblpX="1837" w:tblpY="9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2"/>
        <w:gridCol w:w="993"/>
        <w:gridCol w:w="1200"/>
        <w:gridCol w:w="5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92" w:type="dxa"/>
            <w:vAlign w:val="center"/>
          </w:tcPr>
          <w:p>
            <w:pPr>
              <w:jc w:val="center"/>
              <w:rPr>
                <w:b/>
                <w:bCs/>
                <w:sz w:val="21"/>
                <w:szCs w:val="21"/>
              </w:rPr>
            </w:pPr>
            <w:r>
              <w:rPr>
                <w:rFonts w:hint="eastAsia"/>
                <w:b/>
                <w:bCs/>
                <w:sz w:val="21"/>
                <w:szCs w:val="21"/>
              </w:rPr>
              <w:t>序号</w:t>
            </w:r>
          </w:p>
        </w:tc>
        <w:tc>
          <w:tcPr>
            <w:tcW w:w="993" w:type="dxa"/>
            <w:vAlign w:val="center"/>
          </w:tcPr>
          <w:p>
            <w:pPr>
              <w:jc w:val="center"/>
              <w:rPr>
                <w:b/>
                <w:bCs/>
                <w:sz w:val="21"/>
                <w:szCs w:val="21"/>
              </w:rPr>
            </w:pPr>
            <w:r>
              <w:rPr>
                <w:rFonts w:hint="eastAsia"/>
                <w:b/>
                <w:bCs/>
                <w:sz w:val="21"/>
                <w:szCs w:val="21"/>
              </w:rPr>
              <w:t>职业类别</w:t>
            </w:r>
          </w:p>
        </w:tc>
        <w:tc>
          <w:tcPr>
            <w:tcW w:w="1200" w:type="dxa"/>
            <w:vAlign w:val="center"/>
          </w:tcPr>
          <w:p>
            <w:pPr>
              <w:jc w:val="center"/>
              <w:rPr>
                <w:b/>
                <w:bCs/>
                <w:sz w:val="21"/>
                <w:szCs w:val="21"/>
              </w:rPr>
            </w:pPr>
            <w:r>
              <w:rPr>
                <w:rFonts w:hint="eastAsia"/>
                <w:b/>
                <w:bCs/>
                <w:sz w:val="21"/>
                <w:szCs w:val="21"/>
              </w:rPr>
              <w:t>岗位群</w:t>
            </w:r>
          </w:p>
        </w:tc>
        <w:tc>
          <w:tcPr>
            <w:tcW w:w="5954" w:type="dxa"/>
            <w:vAlign w:val="center"/>
          </w:tcPr>
          <w:p>
            <w:pPr>
              <w:jc w:val="center"/>
              <w:rPr>
                <w:b/>
                <w:bCs/>
                <w:sz w:val="21"/>
                <w:szCs w:val="21"/>
              </w:rPr>
            </w:pPr>
            <w:r>
              <w:rPr>
                <w:rFonts w:hint="eastAsia"/>
                <w:b/>
                <w:bCs/>
                <w:sz w:val="21"/>
                <w:szCs w:val="21"/>
              </w:rPr>
              <w:t>主要工作内容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592" w:type="dxa"/>
            <w:vAlign w:val="center"/>
          </w:tcPr>
          <w:p>
            <w:pPr>
              <w:jc w:val="center"/>
              <w:rPr>
                <w:lang w:val="en-US"/>
              </w:rPr>
            </w:pPr>
            <w:r>
              <w:rPr>
                <w:rFonts w:hint="eastAsia"/>
                <w:lang w:val="en-US"/>
              </w:rPr>
              <w:t>1</w:t>
            </w:r>
          </w:p>
        </w:tc>
        <w:tc>
          <w:tcPr>
            <w:tcW w:w="993" w:type="dxa"/>
            <w:vAlign w:val="center"/>
          </w:tcPr>
          <w:p>
            <w:pPr>
              <w:jc w:val="center"/>
              <w:rPr>
                <w:sz w:val="18"/>
                <w:szCs w:val="21"/>
              </w:rPr>
            </w:pPr>
            <w:r>
              <w:rPr>
                <w:sz w:val="18"/>
                <w:szCs w:val="21"/>
              </w:rPr>
              <w:t>就业方向一  工程技术类</w:t>
            </w:r>
          </w:p>
        </w:tc>
        <w:tc>
          <w:tcPr>
            <w:tcW w:w="1200" w:type="dxa"/>
            <w:vAlign w:val="center"/>
          </w:tcPr>
          <w:p>
            <w:pPr>
              <w:rPr>
                <w:sz w:val="18"/>
                <w:szCs w:val="21"/>
              </w:rPr>
            </w:pPr>
            <w:r>
              <w:rPr>
                <w:sz w:val="18"/>
                <w:szCs w:val="21"/>
              </w:rPr>
              <w:t>质量管理（QE）、产品测试（IE）、智能电子工程施工管理（PE）</w:t>
            </w:r>
          </w:p>
        </w:tc>
        <w:tc>
          <w:tcPr>
            <w:tcW w:w="5954" w:type="dxa"/>
            <w:vAlign w:val="center"/>
          </w:tcPr>
          <w:p>
            <w:pPr>
              <w:rPr>
                <w:sz w:val="20"/>
                <w:szCs w:val="20"/>
              </w:rPr>
            </w:pPr>
            <w:r>
              <w:rPr>
                <w:sz w:val="18"/>
                <w:szCs w:val="21"/>
              </w:rPr>
              <w:t>负责产品的质量管理：生产流程管理、测试规范制定、测试结果总结、独立进行模块测试计划的制定、测试需求的整理、测试方案的设计以及测试工作的执行；对电子产品进行系统、全面的测试，并对软件问题进行跟踪分析和报告，发现测试中的问题并及时解决，为产品发布提供依据；对用户反映的产品相关问题进行验证，并协助技术支持工程师给予用户合理的答复或解决方案。、按照工序要求组织智能电子系统工程施工；协助市场部人员勘查施工现场，填写“施工现场详细情况报告”、“施工计划表”并报批；组织和安排施工人员，对每项施工质量进行监督，确保工程保质保量完成；协助市场部人员及客户进行工程验收，整理归档施工文件和验收报告；定期统计施工中出现的质量问题，做出分析报告并改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92" w:type="dxa"/>
            <w:vAlign w:val="center"/>
          </w:tcPr>
          <w:p>
            <w:pPr>
              <w:jc w:val="center"/>
              <w:rPr>
                <w:sz w:val="21"/>
                <w:szCs w:val="24"/>
              </w:rPr>
            </w:pPr>
            <w:r>
              <w:rPr>
                <w:sz w:val="21"/>
                <w:szCs w:val="24"/>
              </w:rPr>
              <w:t>2</w:t>
            </w:r>
          </w:p>
        </w:tc>
        <w:tc>
          <w:tcPr>
            <w:tcW w:w="993" w:type="dxa"/>
            <w:vAlign w:val="center"/>
          </w:tcPr>
          <w:p>
            <w:pPr>
              <w:jc w:val="center"/>
              <w:rPr>
                <w:sz w:val="18"/>
                <w:szCs w:val="21"/>
              </w:rPr>
            </w:pPr>
            <w:r>
              <w:rPr>
                <w:sz w:val="18"/>
                <w:szCs w:val="21"/>
              </w:rPr>
              <w:t>就业方向二  技术研发类</w:t>
            </w:r>
          </w:p>
        </w:tc>
        <w:tc>
          <w:tcPr>
            <w:tcW w:w="1200" w:type="dxa"/>
            <w:vAlign w:val="center"/>
          </w:tcPr>
          <w:p>
            <w:pPr>
              <w:rPr>
                <w:sz w:val="18"/>
                <w:szCs w:val="21"/>
              </w:rPr>
            </w:pPr>
            <w:r>
              <w:rPr>
                <w:sz w:val="18"/>
                <w:szCs w:val="21"/>
              </w:rPr>
              <w:t>硬件工程师（PCB）、软件工程师、电子技术员（助理电子工程师）</w:t>
            </w:r>
          </w:p>
        </w:tc>
        <w:tc>
          <w:tcPr>
            <w:tcW w:w="5954" w:type="dxa"/>
            <w:vAlign w:val="center"/>
          </w:tcPr>
          <w:p>
            <w:pPr>
              <w:rPr>
                <w:sz w:val="18"/>
                <w:szCs w:val="21"/>
              </w:rPr>
            </w:pPr>
            <w:r>
              <w:rPr>
                <w:sz w:val="18"/>
                <w:szCs w:val="21"/>
              </w:rPr>
              <w:t>根据电子制造企业客户的需求，绘制符合工程要求的电路板PCB设计图；审查客户提供的电路板PCB设计图，检查是否符合工程要求。、独立承担或作为团队成员承担开发任务：功能分析；确定技术方案；程序设计；产品样品调试；整理产品资料。、独立承担或作为团队成员承担开发任务：功能分析；确定技术方案；器件选型及原理图设计； PCB图设计；产品样品调试；整理产品资料。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92" w:type="dxa"/>
            <w:vAlign w:val="center"/>
          </w:tcPr>
          <w:p>
            <w:pPr>
              <w:jc w:val="center"/>
              <w:rPr>
                <w:sz w:val="21"/>
                <w:szCs w:val="24"/>
              </w:rPr>
            </w:pPr>
            <w:r>
              <w:rPr>
                <w:sz w:val="21"/>
                <w:szCs w:val="24"/>
              </w:rPr>
              <w:t>3</w:t>
            </w:r>
          </w:p>
        </w:tc>
        <w:tc>
          <w:tcPr>
            <w:tcW w:w="993" w:type="dxa"/>
            <w:vAlign w:val="center"/>
          </w:tcPr>
          <w:p>
            <w:pPr>
              <w:jc w:val="center"/>
              <w:rPr>
                <w:sz w:val="18"/>
                <w:szCs w:val="21"/>
              </w:rPr>
            </w:pPr>
            <w:r>
              <w:rPr>
                <w:sz w:val="18"/>
                <w:szCs w:val="21"/>
              </w:rPr>
              <w:t>就业方向三  技术支持类</w:t>
            </w:r>
          </w:p>
        </w:tc>
        <w:tc>
          <w:tcPr>
            <w:tcW w:w="1200" w:type="dxa"/>
            <w:vAlign w:val="center"/>
          </w:tcPr>
          <w:p>
            <w:pPr>
              <w:jc w:val="center"/>
              <w:rPr>
                <w:sz w:val="18"/>
                <w:szCs w:val="21"/>
              </w:rPr>
            </w:pPr>
            <w:r>
              <w:rPr>
                <w:sz w:val="18"/>
                <w:szCs w:val="21"/>
              </w:rPr>
              <w:t>电子产品销售员、招投标技术专员、技术支持工程师、设备维修工、设备管理员等</w:t>
            </w:r>
          </w:p>
        </w:tc>
        <w:tc>
          <w:tcPr>
            <w:tcW w:w="5954" w:type="dxa"/>
            <w:vAlign w:val="center"/>
          </w:tcPr>
          <w:p>
            <w:pPr>
              <w:rPr>
                <w:sz w:val="18"/>
                <w:szCs w:val="21"/>
              </w:rPr>
            </w:pPr>
            <w:r>
              <w:rPr>
                <w:sz w:val="18"/>
                <w:szCs w:val="21"/>
              </w:rPr>
              <w:t>市场考察，发掘及选择顾客，拟定访问计划并按期实施、协助工程/技术/销售人员招投标文件编制，处理日常事务；相关资料统计，整理招投标文件档案并管理；会议记录；部门间的协调沟通。、对电子产品的售前、售中、售后提供技术支持，包括进行方案咨询及方案设计、编写投标文件；现场解决电子产品调试、使用中的问题；协助商务部的技术服务工作，对客户进行培训，对客户使用进行跟踪反馈和服务、生产线设备的日常维护和简单故障的维修。</w:t>
            </w:r>
          </w:p>
        </w:tc>
      </w:tr>
    </w:tbl>
    <w:p>
      <w:pPr>
        <w:rPr>
          <w:sz w:val="24"/>
          <w:szCs w:val="24"/>
        </w:rPr>
      </w:pPr>
    </w:p>
    <w:p>
      <w:pPr>
        <w:spacing w:line="312" w:lineRule="auto"/>
        <w:rPr>
          <w:sz w:val="24"/>
          <w:szCs w:val="24"/>
        </w:rPr>
      </w:pPr>
    </w:p>
    <w:p>
      <w:pPr>
        <w:spacing w:line="312" w:lineRule="auto"/>
        <w:ind w:firstLine="482" w:firstLineChars="200"/>
        <w:rPr>
          <w:sz w:val="24"/>
          <w:szCs w:val="24"/>
        </w:rPr>
      </w:pPr>
      <w:r>
        <w:rPr>
          <w:rFonts w:hint="eastAsia"/>
          <w:b/>
          <w:bCs/>
          <w:sz w:val="24"/>
          <w:szCs w:val="24"/>
          <w:lang w:val="en-US"/>
        </w:rPr>
        <w:t xml:space="preserve">16.2.6 </w:t>
      </w:r>
      <w:r>
        <w:rPr>
          <w:rFonts w:hint="eastAsia"/>
          <w:b/>
          <w:bCs/>
          <w:sz w:val="24"/>
          <w:szCs w:val="24"/>
        </w:rPr>
        <w:t>基本学制和学习年限</w:t>
      </w:r>
    </w:p>
    <w:p>
      <w:pPr>
        <w:spacing w:line="312" w:lineRule="auto"/>
        <w:ind w:firstLine="480" w:firstLineChars="200"/>
        <w:rPr>
          <w:sz w:val="24"/>
          <w:szCs w:val="24"/>
        </w:rPr>
      </w:pPr>
      <w:r>
        <w:rPr>
          <w:rFonts w:hint="eastAsia"/>
          <w:sz w:val="24"/>
          <w:szCs w:val="24"/>
          <w:lang w:val="en-US"/>
        </w:rPr>
        <w:t>1.</w:t>
      </w:r>
      <w:r>
        <w:rPr>
          <w:sz w:val="24"/>
          <w:szCs w:val="24"/>
        </w:rPr>
        <w:t>以《专业规范》规定的基本修业年限（即3年）为参考，实行弹性修业年限，允许学生提前或者延期毕业。提前毕业的，原则上只能比基本修业年限提前1年。学生在基本修业年限内未能修满培养计划规定学分的，可以延长修业时间， 延长时间不得超过专业培养计划规定的基本修业年限（即6年）。</w:t>
      </w:r>
    </w:p>
    <w:p>
      <w:pPr>
        <w:spacing w:line="312" w:lineRule="auto"/>
        <w:ind w:firstLine="480" w:firstLineChars="200"/>
        <w:rPr>
          <w:sz w:val="24"/>
          <w:szCs w:val="24"/>
        </w:rPr>
      </w:pPr>
      <w:r>
        <w:rPr>
          <w:rFonts w:hint="eastAsia"/>
          <w:sz w:val="24"/>
          <w:szCs w:val="24"/>
          <w:lang w:val="en-US"/>
        </w:rPr>
        <w:t>2.</w:t>
      </w:r>
      <w:r>
        <w:rPr>
          <w:sz w:val="24"/>
          <w:szCs w:val="24"/>
        </w:rPr>
        <w:t>对有特殊原因、特别困难的学生，经学校批准可以勤工助学。学生因生病或者创业等原因不能连续完成学业，可以实行间修制，允许其中断学习，保留学籍。每次中断学习时间，一般以1年为限，累计中断次数不得超过2次。学生从入学到毕业的年限不得超过上述第1条规定的时间（不包括应征入伍者，应征入伍者保留其学籍至退役后一年）。被批准休学工作、创业和因病休学的学生，其休学时间计入上述第1条规定时限范围。（《广东省教育厅关于普通高等学校实施学分制管理的意见》（粤教高函〔2014〕5号））</w:t>
      </w:r>
    </w:p>
    <w:p>
      <w:pPr>
        <w:spacing w:line="312" w:lineRule="auto"/>
        <w:ind w:firstLine="482" w:firstLineChars="200"/>
        <w:rPr>
          <w:b/>
          <w:bCs/>
          <w:sz w:val="24"/>
          <w:szCs w:val="24"/>
        </w:rPr>
      </w:pPr>
      <w:r>
        <w:rPr>
          <w:rFonts w:hint="eastAsia"/>
          <w:b/>
          <w:bCs/>
          <w:sz w:val="24"/>
          <w:szCs w:val="24"/>
          <w:lang w:val="en-US"/>
        </w:rPr>
        <w:t xml:space="preserve">16.2.7 </w:t>
      </w:r>
      <w:r>
        <w:rPr>
          <w:rFonts w:hint="eastAsia"/>
          <w:b/>
          <w:bCs/>
          <w:sz w:val="24"/>
          <w:szCs w:val="24"/>
        </w:rPr>
        <w:t>毕业标准</w:t>
      </w:r>
    </w:p>
    <w:p>
      <w:pPr>
        <w:spacing w:line="312" w:lineRule="auto"/>
        <w:ind w:firstLine="480" w:firstLineChars="200"/>
        <w:rPr>
          <w:sz w:val="24"/>
          <w:szCs w:val="24"/>
        </w:rPr>
      </w:pPr>
      <w:r>
        <w:rPr>
          <w:sz w:val="24"/>
          <w:szCs w:val="24"/>
        </w:rPr>
        <w:t>满足以下条件，可以获得毕业证书：</w:t>
      </w:r>
    </w:p>
    <w:p>
      <w:pPr>
        <w:spacing w:line="312" w:lineRule="auto"/>
        <w:ind w:firstLine="480" w:firstLineChars="200"/>
        <w:rPr>
          <w:sz w:val="24"/>
          <w:szCs w:val="24"/>
        </w:rPr>
      </w:pPr>
      <w:r>
        <w:rPr>
          <w:sz w:val="24"/>
          <w:szCs w:val="24"/>
        </w:rPr>
        <w:t>学分要求：每1学分为16学时，整周集中实践教学</w:t>
      </w:r>
      <w:r>
        <w:rPr>
          <w:rFonts w:hint="eastAsia"/>
          <w:sz w:val="24"/>
          <w:szCs w:val="24"/>
        </w:rPr>
        <w:t>，</w:t>
      </w:r>
      <w:r>
        <w:rPr>
          <w:sz w:val="24"/>
          <w:szCs w:val="24"/>
        </w:rPr>
        <w:t>1周计24学时</w:t>
      </w:r>
      <w:r>
        <w:rPr>
          <w:rFonts w:hint="eastAsia"/>
          <w:sz w:val="24"/>
          <w:szCs w:val="24"/>
        </w:rPr>
        <w:t>，</w:t>
      </w:r>
      <w:r>
        <w:rPr>
          <w:sz w:val="24"/>
          <w:szCs w:val="24"/>
        </w:rPr>
        <w:t>1学分。修</w:t>
      </w:r>
      <w:r>
        <w:rPr>
          <w:rFonts w:hint="eastAsia"/>
          <w:sz w:val="24"/>
          <w:szCs w:val="24"/>
        </w:rPr>
        <w:t>完</w:t>
      </w:r>
      <w:r>
        <w:rPr>
          <w:sz w:val="24"/>
          <w:szCs w:val="24"/>
        </w:rPr>
        <w:t>本专业</w:t>
      </w:r>
      <w:r>
        <w:rPr>
          <w:rFonts w:hint="eastAsia"/>
          <w:sz w:val="24"/>
          <w:szCs w:val="24"/>
        </w:rPr>
        <w:t>所要求的各类课程，获得相应的学分，总学分</w:t>
      </w:r>
      <w:r>
        <w:rPr>
          <w:sz w:val="24"/>
          <w:szCs w:val="24"/>
        </w:rPr>
        <w:t>最低限定学分148学分。</w:t>
      </w:r>
    </w:p>
    <w:p>
      <w:pPr>
        <w:spacing w:line="312" w:lineRule="auto"/>
        <w:ind w:firstLine="551" w:firstLineChars="196"/>
        <w:rPr>
          <w:b/>
          <w:bCs/>
          <w:sz w:val="28"/>
          <w:szCs w:val="28"/>
        </w:rPr>
      </w:pPr>
      <w:r>
        <w:rPr>
          <w:rFonts w:hint="eastAsia"/>
          <w:b/>
          <w:bCs/>
          <w:sz w:val="28"/>
          <w:szCs w:val="28"/>
          <w:lang w:val="en-US"/>
        </w:rPr>
        <w:t xml:space="preserve">16.3. </w:t>
      </w:r>
      <w:r>
        <w:rPr>
          <w:rFonts w:hint="eastAsia"/>
          <w:b/>
          <w:bCs/>
          <w:sz w:val="28"/>
          <w:szCs w:val="28"/>
        </w:rPr>
        <w:t>人才培养规格要求</w:t>
      </w:r>
    </w:p>
    <w:p>
      <w:pPr>
        <w:spacing w:line="312" w:lineRule="auto"/>
        <w:ind w:firstLine="482" w:firstLineChars="200"/>
        <w:rPr>
          <w:sz w:val="24"/>
          <w:szCs w:val="24"/>
        </w:rPr>
      </w:pPr>
      <w:r>
        <w:rPr>
          <w:rFonts w:hint="eastAsia"/>
          <w:b/>
          <w:bCs/>
          <w:sz w:val="24"/>
          <w:szCs w:val="24"/>
          <w:lang w:val="en-US"/>
        </w:rPr>
        <w:t xml:space="preserve">16.3.1 </w:t>
      </w:r>
      <w:r>
        <w:rPr>
          <w:rFonts w:hint="eastAsia"/>
          <w:b/>
          <w:bCs/>
          <w:sz w:val="24"/>
          <w:szCs w:val="24"/>
        </w:rPr>
        <w:t>培养目标</w:t>
      </w:r>
    </w:p>
    <w:p>
      <w:pPr>
        <w:spacing w:line="312" w:lineRule="auto"/>
        <w:ind w:firstLine="480" w:firstLineChars="200"/>
        <w:rPr>
          <w:sz w:val="24"/>
          <w:szCs w:val="24"/>
        </w:rPr>
      </w:pPr>
      <w:r>
        <w:rPr>
          <w:rFonts w:hint="eastAsia"/>
          <w:sz w:val="24"/>
          <w:szCs w:val="24"/>
        </w:rPr>
        <w:t>培养德、智、体、美、劳全面发展，立足广州经济开发区、科学城，适应区域经济发展转型升级的需求，具有电子信息技术的开发、设计、推广、应用能力，能进行电子信息产品的安装、调试、检测、维护，面向生产管理、技术服务第一线，具备国际视野、创新意识和技术应用能力的高素质技术技能型人才。</w:t>
      </w:r>
    </w:p>
    <w:p>
      <w:pPr>
        <w:spacing w:line="312" w:lineRule="auto"/>
        <w:ind w:firstLine="482" w:firstLineChars="200"/>
        <w:rPr>
          <w:b/>
          <w:bCs/>
          <w:sz w:val="24"/>
          <w:szCs w:val="24"/>
        </w:rPr>
      </w:pPr>
      <w:r>
        <w:rPr>
          <w:rFonts w:hint="eastAsia"/>
          <w:b/>
          <w:bCs/>
          <w:sz w:val="24"/>
          <w:szCs w:val="24"/>
          <w:lang w:val="en-US"/>
        </w:rPr>
        <w:t xml:space="preserve">16.3.2 </w:t>
      </w:r>
      <w:r>
        <w:rPr>
          <w:rFonts w:hint="eastAsia"/>
          <w:b/>
          <w:bCs/>
          <w:sz w:val="24"/>
          <w:szCs w:val="24"/>
        </w:rPr>
        <w:t>专业毕业预期学习成果</w:t>
      </w:r>
    </w:p>
    <w:p>
      <w:pPr>
        <w:spacing w:line="312" w:lineRule="auto"/>
        <w:ind w:firstLine="480" w:firstLineChars="200"/>
        <w:rPr>
          <w:sz w:val="24"/>
          <w:szCs w:val="24"/>
        </w:rPr>
      </w:pPr>
      <w:r>
        <w:rPr>
          <w:rFonts w:hint="eastAsia"/>
          <w:sz w:val="24"/>
          <w:szCs w:val="24"/>
        </w:rPr>
        <w:t>岭南职院学历资格轮廓中参照美国</w:t>
      </w:r>
      <w:r>
        <w:rPr>
          <w:sz w:val="24"/>
          <w:szCs w:val="24"/>
        </w:rPr>
        <w:t>DQP（Degree Qualifications Profile） 副学士标准，确定毕业生学历资格的五大学习领域（专业知识、广泛和融合的知识、智力技能、应用和协作学习、公民和全球学习）的预期学习成果，以此来体现对本专业毕业生的职业能力、方法能力、社会能力及专业核心领域知识的融合与应用能力等方面的要求，即毕业要求。本专业毕业生在各学习领域的“专业预期学习成果”（Program Outcome，简称POC）描述如下：</w:t>
      </w:r>
    </w:p>
    <w:p>
      <w:pPr>
        <w:spacing w:line="312" w:lineRule="auto"/>
        <w:ind w:firstLine="482" w:firstLineChars="200"/>
        <w:rPr>
          <w:b/>
          <w:bCs/>
          <w:sz w:val="24"/>
          <w:szCs w:val="24"/>
        </w:rPr>
      </w:pPr>
      <w:r>
        <w:rPr>
          <w:rFonts w:hint="eastAsia"/>
          <w:b/>
          <w:bCs/>
          <w:sz w:val="24"/>
          <w:szCs w:val="24"/>
          <w:lang w:val="en-US"/>
        </w:rPr>
        <w:t xml:space="preserve">16.3.2.1 </w:t>
      </w:r>
      <w:r>
        <w:rPr>
          <w:b/>
          <w:bCs/>
          <w:sz w:val="24"/>
          <w:szCs w:val="24"/>
        </w:rPr>
        <w:t xml:space="preserve">专业知识领域 </w:t>
      </w:r>
    </w:p>
    <w:p>
      <w:pPr>
        <w:spacing w:line="312" w:lineRule="auto"/>
        <w:ind w:firstLine="482" w:firstLineChars="200"/>
        <w:rPr>
          <w:sz w:val="24"/>
          <w:szCs w:val="24"/>
        </w:rPr>
      </w:pPr>
      <w:r>
        <w:rPr>
          <w:b/>
          <w:bCs/>
          <w:sz w:val="24"/>
          <w:szCs w:val="24"/>
        </w:rPr>
        <w:t>POC1</w:t>
      </w:r>
      <w:r>
        <w:rPr>
          <w:sz w:val="24"/>
          <w:szCs w:val="24"/>
        </w:rPr>
        <w:t>：</w:t>
      </w:r>
      <w:r>
        <w:rPr>
          <w:b/>
          <w:bCs/>
          <w:sz w:val="24"/>
          <w:szCs w:val="24"/>
        </w:rPr>
        <w:t>（Specialized Knowledge）在专业知识方面，本专业的毕业生应该能够：</w:t>
      </w:r>
    </w:p>
    <w:p>
      <w:pPr>
        <w:spacing w:line="312" w:lineRule="auto"/>
        <w:ind w:firstLine="480" w:firstLineChars="200"/>
        <w:rPr>
          <w:sz w:val="24"/>
          <w:szCs w:val="24"/>
        </w:rPr>
      </w:pPr>
      <w:r>
        <w:rPr>
          <w:sz w:val="24"/>
          <w:szCs w:val="24"/>
        </w:rPr>
        <w:t>POC1.1 用专业领域的相关术语来描述专业领域的核心理论和实践，并且提供至少一个与专业领域相关的案例；</w:t>
      </w:r>
    </w:p>
    <w:p>
      <w:pPr>
        <w:spacing w:line="312" w:lineRule="auto"/>
        <w:ind w:firstLine="480" w:firstLineChars="200"/>
        <w:rPr>
          <w:sz w:val="24"/>
          <w:szCs w:val="24"/>
        </w:rPr>
      </w:pPr>
      <w:r>
        <w:rPr>
          <w:sz w:val="24"/>
          <w:szCs w:val="24"/>
        </w:rPr>
        <w:t>POC1.2 应用相关专业领域的工具、技术和方法去解决专业领域内给定的提问和难题；</w:t>
      </w:r>
    </w:p>
    <w:p>
      <w:pPr>
        <w:spacing w:line="312" w:lineRule="auto"/>
        <w:ind w:firstLine="480" w:firstLineChars="200"/>
        <w:rPr>
          <w:sz w:val="24"/>
          <w:szCs w:val="24"/>
        </w:rPr>
      </w:pPr>
      <w:r>
        <w:rPr>
          <w:sz w:val="24"/>
          <w:szCs w:val="24"/>
        </w:rPr>
        <w:t>POC1.3 基本上无差错地做出相关专业领域的产品、模型、数据、展示或表演；</w:t>
      </w:r>
    </w:p>
    <w:p>
      <w:pPr>
        <w:spacing w:line="312" w:lineRule="auto"/>
        <w:ind w:firstLine="482" w:firstLineChars="200"/>
        <w:rPr>
          <w:b/>
          <w:bCs/>
          <w:sz w:val="24"/>
          <w:szCs w:val="24"/>
        </w:rPr>
      </w:pPr>
      <w:r>
        <w:rPr>
          <w:rFonts w:hint="eastAsia"/>
          <w:b/>
          <w:bCs/>
          <w:sz w:val="24"/>
          <w:szCs w:val="24"/>
          <w:lang w:val="en-US"/>
        </w:rPr>
        <w:t xml:space="preserve">16.3.2.2 </w:t>
      </w:r>
      <w:r>
        <w:rPr>
          <w:b/>
          <w:bCs/>
          <w:sz w:val="24"/>
          <w:szCs w:val="24"/>
        </w:rPr>
        <w:t>广泛和融合的知识领域</w:t>
      </w:r>
    </w:p>
    <w:p>
      <w:pPr>
        <w:spacing w:line="312" w:lineRule="auto"/>
        <w:ind w:firstLine="482" w:firstLineChars="200"/>
        <w:rPr>
          <w:b/>
          <w:bCs/>
          <w:sz w:val="24"/>
          <w:szCs w:val="24"/>
        </w:rPr>
      </w:pPr>
      <w:r>
        <w:rPr>
          <w:b/>
          <w:bCs/>
          <w:sz w:val="24"/>
          <w:szCs w:val="24"/>
        </w:rPr>
        <w:t>POC2：（Broad and Integrative Knowledge）在广泛和融合的知识方面，本专业的毕业生应该能够：</w:t>
      </w:r>
    </w:p>
    <w:p>
      <w:pPr>
        <w:spacing w:line="312" w:lineRule="auto"/>
        <w:ind w:firstLine="480" w:firstLineChars="200"/>
        <w:rPr>
          <w:sz w:val="24"/>
          <w:szCs w:val="24"/>
        </w:rPr>
      </w:pPr>
      <w:r>
        <w:rPr>
          <w:sz w:val="24"/>
          <w:szCs w:val="24"/>
        </w:rPr>
        <w:t>POC2.1 描述所学习的每一项核心领域的现有知识或实践是如何向前推进、验证和修正的。例如自然科学、社会科学、人文艺术学科的专业和跨专业课程；</w:t>
      </w:r>
    </w:p>
    <w:p>
      <w:pPr>
        <w:spacing w:line="312" w:lineRule="auto"/>
        <w:ind w:firstLine="480" w:firstLineChars="200"/>
        <w:rPr>
          <w:sz w:val="24"/>
          <w:szCs w:val="24"/>
        </w:rPr>
      </w:pPr>
      <w:r>
        <w:rPr>
          <w:sz w:val="24"/>
          <w:szCs w:val="24"/>
        </w:rPr>
        <w:t>POC2.2 就所学习的每一项核心领域描述一个关键性的争议问题，解释该争议问题的意义，并且应用该领域的概念来阐述自己对该争议问题的见解；</w:t>
      </w:r>
    </w:p>
    <w:p>
      <w:pPr>
        <w:spacing w:line="312" w:lineRule="auto"/>
        <w:ind w:firstLine="480" w:firstLineChars="200"/>
        <w:rPr>
          <w:sz w:val="24"/>
          <w:szCs w:val="24"/>
        </w:rPr>
      </w:pPr>
      <w:r>
        <w:rPr>
          <w:sz w:val="24"/>
          <w:szCs w:val="24"/>
        </w:rPr>
        <w:t>POC2.3 在实施分析性、实操性或创造性的任务中，使用所学习的多项核心领域的公认方法，包括依据的收集与评估；</w:t>
      </w:r>
    </w:p>
    <w:p>
      <w:pPr>
        <w:spacing w:line="312" w:lineRule="auto"/>
        <w:ind w:firstLine="480" w:firstLineChars="200"/>
        <w:rPr>
          <w:sz w:val="24"/>
          <w:szCs w:val="24"/>
        </w:rPr>
      </w:pPr>
      <w:r>
        <w:rPr>
          <w:sz w:val="24"/>
          <w:szCs w:val="24"/>
        </w:rPr>
        <w:t>POC2.4 从科学、艺术、社会、人类服务、经济或科技的问题中，采用至少两个领域的知识，描述如何定义、界定与解释选定问题对社会的重要意义，并对此做出评述</w:t>
      </w:r>
      <w:r>
        <w:rPr>
          <w:rFonts w:hint="eastAsia"/>
          <w:sz w:val="24"/>
          <w:szCs w:val="24"/>
        </w:rPr>
        <w:t>；</w:t>
      </w:r>
    </w:p>
    <w:p>
      <w:pPr>
        <w:spacing w:line="312" w:lineRule="auto"/>
        <w:ind w:firstLine="482" w:firstLineChars="200"/>
        <w:rPr>
          <w:b/>
          <w:bCs/>
          <w:sz w:val="24"/>
          <w:szCs w:val="24"/>
        </w:rPr>
      </w:pPr>
      <w:r>
        <w:rPr>
          <w:rFonts w:hint="eastAsia"/>
          <w:b/>
          <w:bCs/>
          <w:sz w:val="24"/>
          <w:szCs w:val="24"/>
          <w:lang w:val="en-US"/>
        </w:rPr>
        <w:t xml:space="preserve">16.3.2.3 </w:t>
      </w:r>
      <w:r>
        <w:rPr>
          <w:b/>
          <w:bCs/>
          <w:sz w:val="24"/>
          <w:szCs w:val="24"/>
        </w:rPr>
        <w:t xml:space="preserve">智力技能领域 </w:t>
      </w:r>
    </w:p>
    <w:p>
      <w:pPr>
        <w:spacing w:line="312" w:lineRule="auto"/>
        <w:ind w:firstLine="482" w:firstLineChars="200"/>
        <w:rPr>
          <w:b/>
          <w:bCs/>
          <w:sz w:val="24"/>
          <w:szCs w:val="24"/>
          <w:lang w:val="en-US"/>
        </w:rPr>
      </w:pPr>
      <w:r>
        <w:rPr>
          <w:b/>
          <w:bCs/>
          <w:sz w:val="24"/>
          <w:szCs w:val="24"/>
          <w:lang w:val="en-US"/>
        </w:rPr>
        <w:t>POC3：（Intellectual Skills）</w:t>
      </w:r>
      <w:r>
        <w:rPr>
          <w:b/>
          <w:bCs/>
          <w:sz w:val="24"/>
          <w:szCs w:val="24"/>
        </w:rPr>
        <w:t>在解析探究（Analytic Inquiry）方面</w:t>
      </w:r>
      <w:r>
        <w:rPr>
          <w:b/>
          <w:sz w:val="24"/>
          <w:szCs w:val="24"/>
        </w:rPr>
        <w:t>，本专业的毕业生应该能够：</w:t>
      </w:r>
    </w:p>
    <w:p>
      <w:pPr>
        <w:spacing w:line="312" w:lineRule="auto"/>
        <w:ind w:firstLine="480" w:firstLineChars="200"/>
        <w:rPr>
          <w:sz w:val="24"/>
          <w:szCs w:val="24"/>
        </w:rPr>
      </w:pPr>
      <w:r>
        <w:rPr>
          <w:sz w:val="24"/>
          <w:szCs w:val="24"/>
        </w:rPr>
        <w:t>POC3.1 在选定的学习领域提出并界定一个问题，并能厘清涉及该问题的各种观点、概念、理论及其解决方法；</w:t>
      </w:r>
    </w:p>
    <w:p>
      <w:pPr>
        <w:spacing w:line="312" w:lineRule="auto"/>
        <w:ind w:firstLine="482" w:firstLineChars="200"/>
        <w:rPr>
          <w:b/>
          <w:sz w:val="24"/>
          <w:szCs w:val="24"/>
        </w:rPr>
      </w:pPr>
      <w:r>
        <w:rPr>
          <w:b/>
          <w:bCs/>
          <w:sz w:val="24"/>
          <w:szCs w:val="24"/>
        </w:rPr>
        <w:t>在利用信息资源（Use of Information Resources）方面</w:t>
      </w:r>
      <w:r>
        <w:rPr>
          <w:b/>
          <w:sz w:val="24"/>
          <w:szCs w:val="24"/>
        </w:rPr>
        <w:t>，本专业的毕业生应该能够：</w:t>
      </w:r>
    </w:p>
    <w:p>
      <w:pPr>
        <w:spacing w:line="312" w:lineRule="auto"/>
        <w:ind w:firstLine="480" w:firstLineChars="200"/>
        <w:rPr>
          <w:sz w:val="24"/>
          <w:szCs w:val="24"/>
        </w:rPr>
      </w:pPr>
      <w:r>
        <w:rPr>
          <w:sz w:val="24"/>
          <w:szCs w:val="24"/>
        </w:rPr>
        <w:t>POC3.2 对于多种资源进行辩识、分类、评估和引用，来</w:t>
      </w:r>
      <w:r>
        <w:rPr>
          <w:rFonts w:hint="eastAsia"/>
          <w:sz w:val="24"/>
          <w:szCs w:val="24"/>
          <w:lang w:val="en-US"/>
        </w:rPr>
        <w:t>做</w:t>
      </w:r>
      <w:r>
        <w:rPr>
          <w:sz w:val="24"/>
          <w:szCs w:val="24"/>
        </w:rPr>
        <w:t>出在某一个领域或在文理科一般性课题上的项目、论文或表演；</w:t>
      </w:r>
    </w:p>
    <w:p>
      <w:pPr>
        <w:spacing w:line="312" w:lineRule="auto"/>
        <w:ind w:firstLine="482" w:firstLineChars="200"/>
        <w:rPr>
          <w:b/>
          <w:sz w:val="24"/>
          <w:szCs w:val="24"/>
        </w:rPr>
      </w:pPr>
      <w:r>
        <w:rPr>
          <w:b/>
          <w:bCs/>
          <w:sz w:val="24"/>
          <w:szCs w:val="24"/>
        </w:rPr>
        <w:t>在了解多种观点（Engaging Diverse Perspectives）方面，</w:t>
      </w:r>
      <w:r>
        <w:rPr>
          <w:b/>
          <w:sz w:val="24"/>
          <w:szCs w:val="24"/>
        </w:rPr>
        <w:t>本专业的毕业生应该能够：</w:t>
      </w:r>
    </w:p>
    <w:p>
      <w:pPr>
        <w:spacing w:line="312" w:lineRule="auto"/>
        <w:ind w:firstLine="480" w:firstLineChars="200"/>
        <w:rPr>
          <w:sz w:val="24"/>
          <w:szCs w:val="24"/>
        </w:rPr>
      </w:pPr>
      <w:r>
        <w:rPr>
          <w:sz w:val="24"/>
          <w:szCs w:val="24"/>
        </w:rPr>
        <w:t>POC3.3.1 描述来自不同文化观点的知识是如何影响对于政治、社会、艺术和国际关系中突出问题的理解；</w:t>
      </w:r>
    </w:p>
    <w:p>
      <w:pPr>
        <w:spacing w:line="312" w:lineRule="auto"/>
        <w:ind w:firstLine="600" w:firstLineChars="250"/>
        <w:rPr>
          <w:sz w:val="24"/>
          <w:szCs w:val="24"/>
        </w:rPr>
      </w:pPr>
      <w:r>
        <w:rPr>
          <w:sz w:val="24"/>
          <w:szCs w:val="24"/>
        </w:rPr>
        <w:t>POC3.3.2 对于自己在文化、社会、政治、艺术或国际关系方面问题上的观点的根源，作出描述、解释和评估，并与其它观点做比较；</w:t>
      </w:r>
    </w:p>
    <w:p>
      <w:pPr>
        <w:spacing w:line="312" w:lineRule="auto"/>
        <w:ind w:firstLine="482" w:firstLineChars="200"/>
        <w:rPr>
          <w:b/>
          <w:sz w:val="24"/>
          <w:szCs w:val="24"/>
        </w:rPr>
      </w:pPr>
      <w:r>
        <w:rPr>
          <w:b/>
          <w:bCs/>
          <w:sz w:val="24"/>
          <w:szCs w:val="24"/>
        </w:rPr>
        <w:t>在伦理判断（Ethical Reasoning）方面</w:t>
      </w:r>
      <w:r>
        <w:rPr>
          <w:b/>
          <w:sz w:val="24"/>
          <w:szCs w:val="24"/>
        </w:rPr>
        <w:t>，本专业的毕业生应该能够：</w:t>
      </w:r>
    </w:p>
    <w:p>
      <w:pPr>
        <w:spacing w:line="312" w:lineRule="auto"/>
        <w:ind w:firstLine="480" w:firstLineChars="200"/>
        <w:rPr>
          <w:sz w:val="24"/>
          <w:szCs w:val="24"/>
        </w:rPr>
      </w:pPr>
      <w:r>
        <w:rPr>
          <w:sz w:val="24"/>
          <w:szCs w:val="24"/>
        </w:rPr>
        <w:t xml:space="preserve"> POC3.4 描述政治、经济、医疗、技术或艺术方面突出问题中的伦理道德问题，并说明这些伦理道德原则是如何影响对于这些问题的决策；</w:t>
      </w:r>
    </w:p>
    <w:p>
      <w:pPr>
        <w:spacing w:line="312" w:lineRule="auto"/>
        <w:rPr>
          <w:b/>
          <w:sz w:val="24"/>
          <w:szCs w:val="24"/>
        </w:rPr>
      </w:pPr>
      <w:r>
        <w:rPr>
          <w:b/>
          <w:bCs/>
          <w:sz w:val="24"/>
          <w:szCs w:val="24"/>
        </w:rPr>
        <w:t>在定量表达（Quantitative Fluency）方面</w:t>
      </w:r>
      <w:r>
        <w:rPr>
          <w:b/>
          <w:sz w:val="24"/>
          <w:szCs w:val="24"/>
        </w:rPr>
        <w:t>，本专业的毕业生应该能够：</w:t>
      </w:r>
    </w:p>
    <w:p>
      <w:pPr>
        <w:spacing w:line="312" w:lineRule="auto"/>
        <w:ind w:firstLine="480" w:firstLineChars="200"/>
        <w:rPr>
          <w:sz w:val="24"/>
          <w:szCs w:val="24"/>
        </w:rPr>
      </w:pPr>
      <w:r>
        <w:rPr>
          <w:sz w:val="24"/>
          <w:szCs w:val="24"/>
        </w:rPr>
        <w:t>POC3.5.1 对于政治上、经济上、健康上或技术上的问题，对其中使用到的量化信息（即数字）进行准确的诠释；并能够介绍如何在论述时有效地利用量化信息（数字与符号）；</w:t>
      </w:r>
    </w:p>
    <w:p>
      <w:pPr>
        <w:spacing w:line="312" w:lineRule="auto"/>
        <w:ind w:firstLine="480" w:firstLineChars="200"/>
        <w:rPr>
          <w:sz w:val="24"/>
          <w:szCs w:val="24"/>
        </w:rPr>
      </w:pPr>
      <w:r>
        <w:rPr>
          <w:sz w:val="24"/>
          <w:szCs w:val="24"/>
        </w:rPr>
        <w:t xml:space="preserve">POC3.5.2 创建并解释关于趋势、关联或状态变化的图表与其他视像表述； </w:t>
      </w:r>
    </w:p>
    <w:p>
      <w:pPr>
        <w:spacing w:line="312" w:lineRule="auto"/>
        <w:ind w:firstLine="482" w:firstLineChars="200"/>
        <w:rPr>
          <w:b/>
          <w:bCs/>
          <w:sz w:val="24"/>
          <w:szCs w:val="24"/>
        </w:rPr>
      </w:pPr>
      <w:r>
        <w:rPr>
          <w:b/>
          <w:bCs/>
          <w:sz w:val="24"/>
          <w:szCs w:val="24"/>
        </w:rPr>
        <w:t xml:space="preserve">在沟通技巧（Communicative Fluency）方面，本专业的毕业生应该能够： </w:t>
      </w:r>
    </w:p>
    <w:p>
      <w:pPr>
        <w:spacing w:line="312" w:lineRule="auto"/>
        <w:ind w:firstLine="480" w:firstLineChars="200"/>
        <w:rPr>
          <w:sz w:val="24"/>
          <w:szCs w:val="24"/>
        </w:rPr>
      </w:pPr>
      <w:r>
        <w:rPr>
          <w:sz w:val="24"/>
          <w:szCs w:val="24"/>
        </w:rPr>
        <w:t>POC3.6.1 在与一般和特定对象沟通中，写出令人信服的、流畅的、基本无笔误的文章；</w:t>
      </w:r>
    </w:p>
    <w:p>
      <w:pPr>
        <w:spacing w:line="312" w:lineRule="auto"/>
        <w:ind w:firstLine="480" w:firstLineChars="200"/>
        <w:rPr>
          <w:sz w:val="24"/>
          <w:szCs w:val="24"/>
        </w:rPr>
      </w:pPr>
      <w:r>
        <w:rPr>
          <w:sz w:val="24"/>
          <w:szCs w:val="24"/>
        </w:rPr>
        <w:t>POC3.6.2 与普通大众或某一个特定对象有效进行正式场合下的口头言语交流；</w:t>
      </w:r>
    </w:p>
    <w:p>
      <w:pPr>
        <w:spacing w:line="312" w:lineRule="auto"/>
        <w:ind w:firstLine="480" w:firstLineChars="200"/>
        <w:rPr>
          <w:sz w:val="24"/>
          <w:szCs w:val="24"/>
        </w:rPr>
      </w:pPr>
      <w:r>
        <w:rPr>
          <w:sz w:val="24"/>
          <w:szCs w:val="24"/>
        </w:rPr>
        <w:t>POC3.6.3 就某一具体工作任务的行动计划进行商谈，并对商谈结果进行书面或口头的总结陈述性沟通；</w:t>
      </w:r>
    </w:p>
    <w:p>
      <w:pPr>
        <w:spacing w:line="312" w:lineRule="auto"/>
        <w:ind w:firstLine="480" w:firstLineChars="200"/>
        <w:rPr>
          <w:sz w:val="24"/>
          <w:szCs w:val="24"/>
        </w:rPr>
      </w:pPr>
      <w:r>
        <w:rPr>
          <w:sz w:val="24"/>
          <w:szCs w:val="24"/>
        </w:rPr>
        <w:t>POC3.6.4 使用一门外语进行日常基本的交流，翻译所学专业领域的一篇简单的文章</w:t>
      </w:r>
      <w:r>
        <w:rPr>
          <w:rFonts w:hint="eastAsia"/>
          <w:sz w:val="24"/>
          <w:szCs w:val="24"/>
        </w:rPr>
        <w:t>；</w:t>
      </w:r>
    </w:p>
    <w:p>
      <w:pPr>
        <w:spacing w:line="312" w:lineRule="auto"/>
        <w:rPr>
          <w:b/>
          <w:sz w:val="24"/>
          <w:szCs w:val="24"/>
        </w:rPr>
      </w:pPr>
      <w:r>
        <w:rPr>
          <w:b/>
          <w:bCs/>
          <w:sz w:val="24"/>
          <w:szCs w:val="24"/>
        </w:rPr>
        <w:t>在创新思维（Innovative Thinking）方面</w:t>
      </w:r>
      <w:r>
        <w:rPr>
          <w:b/>
          <w:sz w:val="24"/>
          <w:szCs w:val="24"/>
        </w:rPr>
        <w:t>，本专业的毕业生应该能够：</w:t>
      </w:r>
    </w:p>
    <w:p>
      <w:pPr>
        <w:spacing w:line="312" w:lineRule="auto"/>
        <w:ind w:firstLine="480" w:firstLineChars="200"/>
        <w:rPr>
          <w:sz w:val="24"/>
          <w:szCs w:val="24"/>
        </w:rPr>
      </w:pPr>
      <w:r>
        <w:rPr>
          <w:sz w:val="24"/>
          <w:szCs w:val="24"/>
        </w:rPr>
        <w:t>POC3.7.1 就一个创新创业的实践案例，分析或阐述该案例中涉及的创新、创业特征及关键要素，并给出自己的评判；</w:t>
      </w:r>
    </w:p>
    <w:p>
      <w:pPr>
        <w:spacing w:line="312" w:lineRule="auto"/>
        <w:ind w:firstLine="480" w:firstLineChars="200"/>
        <w:rPr>
          <w:sz w:val="24"/>
          <w:szCs w:val="24"/>
        </w:rPr>
      </w:pPr>
      <w:r>
        <w:rPr>
          <w:sz w:val="24"/>
          <w:szCs w:val="24"/>
        </w:rPr>
        <w:t>POC3.7.2 运用一个或多个领域的知识与技能，就社会、经济、技术、文化等领域的某一方面的实践活动，或提出疑问，或指出其存在的问题，或提出一个新思路、新方法</w:t>
      </w:r>
      <w:r>
        <w:rPr>
          <w:rFonts w:hint="eastAsia"/>
          <w:sz w:val="24"/>
          <w:szCs w:val="24"/>
        </w:rPr>
        <w:t>；</w:t>
      </w:r>
    </w:p>
    <w:p>
      <w:pPr>
        <w:spacing w:line="312" w:lineRule="auto"/>
        <w:ind w:firstLine="482" w:firstLineChars="200"/>
        <w:rPr>
          <w:b/>
          <w:bCs/>
          <w:sz w:val="24"/>
          <w:szCs w:val="24"/>
        </w:rPr>
      </w:pPr>
      <w:r>
        <w:rPr>
          <w:rFonts w:hint="eastAsia"/>
          <w:b/>
          <w:bCs/>
          <w:sz w:val="24"/>
          <w:szCs w:val="24"/>
          <w:lang w:val="en-US"/>
        </w:rPr>
        <w:t xml:space="preserve">16.3.2.4 </w:t>
      </w:r>
      <w:r>
        <w:rPr>
          <w:b/>
          <w:bCs/>
          <w:sz w:val="24"/>
          <w:szCs w:val="24"/>
        </w:rPr>
        <w:t>应用和协作学习领域</w:t>
      </w:r>
    </w:p>
    <w:p>
      <w:pPr>
        <w:spacing w:line="312" w:lineRule="auto"/>
        <w:ind w:firstLine="482" w:firstLineChars="200"/>
        <w:rPr>
          <w:sz w:val="24"/>
          <w:szCs w:val="24"/>
        </w:rPr>
      </w:pPr>
      <w:r>
        <w:rPr>
          <w:b/>
          <w:bCs/>
          <w:sz w:val="24"/>
          <w:szCs w:val="24"/>
        </w:rPr>
        <w:t>POC4 ：（ Applied and Collaborative Learning）在应用和协作学习方面，本专业的毕业生应该能够</w:t>
      </w:r>
      <w:r>
        <w:rPr>
          <w:sz w:val="24"/>
          <w:szCs w:val="24"/>
        </w:rPr>
        <w:t>：</w:t>
      </w:r>
    </w:p>
    <w:p>
      <w:pPr>
        <w:spacing w:line="312" w:lineRule="auto"/>
        <w:ind w:firstLine="480" w:firstLineChars="200"/>
        <w:rPr>
          <w:sz w:val="24"/>
          <w:szCs w:val="24"/>
        </w:rPr>
      </w:pPr>
      <w:r>
        <w:rPr>
          <w:sz w:val="24"/>
          <w:szCs w:val="24"/>
        </w:rPr>
        <w:t>POC4.1 书面汇报至少一个案例：说明自己是怎样将所学的学术性知识与技术技能，应用于"实地（实践）挑战"；并提出证据或案例，用来证明自己在应用过程中学到新的知识或有其它的收获；</w:t>
      </w:r>
    </w:p>
    <w:p>
      <w:pPr>
        <w:spacing w:line="312" w:lineRule="auto"/>
        <w:ind w:firstLine="480" w:firstLineChars="200"/>
        <w:rPr>
          <w:sz w:val="24"/>
          <w:szCs w:val="24"/>
        </w:rPr>
      </w:pPr>
      <w:r>
        <w:rPr>
          <w:sz w:val="24"/>
          <w:szCs w:val="24"/>
        </w:rPr>
        <w:t>POC4.2 分享或教会同学们至少一个自己在课堂外学来的重要概念或方法；</w:t>
      </w:r>
    </w:p>
    <w:p>
      <w:pPr>
        <w:spacing w:line="312" w:lineRule="auto"/>
        <w:ind w:firstLine="480" w:firstLineChars="200"/>
        <w:rPr>
          <w:sz w:val="24"/>
          <w:szCs w:val="24"/>
        </w:rPr>
      </w:pPr>
      <w:r>
        <w:rPr>
          <w:sz w:val="24"/>
          <w:szCs w:val="24"/>
        </w:rPr>
        <w:t xml:space="preserve">POC4.3 对于一个超出课上所学内容的实践难题，独立或与他人协作，对难题准确定位，收集相关线索与信息，进行组织与分析，并提出多种解决方案； </w:t>
      </w:r>
    </w:p>
    <w:p>
      <w:pPr>
        <w:spacing w:line="312" w:lineRule="auto"/>
        <w:ind w:firstLine="480" w:firstLineChars="200"/>
        <w:rPr>
          <w:sz w:val="24"/>
          <w:szCs w:val="24"/>
        </w:rPr>
      </w:pPr>
      <w:r>
        <w:rPr>
          <w:sz w:val="24"/>
          <w:szCs w:val="24"/>
        </w:rPr>
        <w:t>POC4.4 参与一个创新创业性活动或项目，展示或讲解其实践成果，并就其过程做出书面的总结（至少能重点突出这次经历中个人对创新创业精神与创新创业管理的感悟，进而能阐明其应用前景或价值</w:t>
      </w:r>
      <w:r>
        <w:rPr>
          <w:rFonts w:hint="eastAsia"/>
          <w:sz w:val="24"/>
          <w:szCs w:val="24"/>
        </w:rPr>
        <w:t>）；</w:t>
      </w:r>
    </w:p>
    <w:p>
      <w:pPr>
        <w:spacing w:line="312" w:lineRule="auto"/>
        <w:ind w:firstLine="482" w:firstLineChars="200"/>
        <w:rPr>
          <w:b/>
          <w:bCs/>
          <w:sz w:val="24"/>
          <w:szCs w:val="24"/>
        </w:rPr>
      </w:pPr>
      <w:r>
        <w:rPr>
          <w:rFonts w:hint="eastAsia"/>
          <w:b/>
          <w:bCs/>
          <w:sz w:val="24"/>
          <w:szCs w:val="24"/>
          <w:lang w:val="en-US"/>
        </w:rPr>
        <w:t xml:space="preserve">16.3.2.5 </w:t>
      </w:r>
      <w:r>
        <w:rPr>
          <w:b/>
          <w:bCs/>
          <w:sz w:val="24"/>
          <w:szCs w:val="24"/>
        </w:rPr>
        <w:t xml:space="preserve">公民和全球学习领域 </w:t>
      </w:r>
    </w:p>
    <w:p>
      <w:pPr>
        <w:spacing w:line="312" w:lineRule="auto"/>
        <w:ind w:firstLine="482" w:firstLineChars="200"/>
        <w:rPr>
          <w:sz w:val="24"/>
          <w:szCs w:val="24"/>
        </w:rPr>
      </w:pPr>
      <w:r>
        <w:rPr>
          <w:b/>
          <w:bCs/>
          <w:sz w:val="24"/>
          <w:szCs w:val="24"/>
        </w:rPr>
        <w:t>POC5：(Civic and Global Learning) 在公民素养和全球学习方面，本专业的毕业生应该能够</w:t>
      </w:r>
      <w:r>
        <w:rPr>
          <w:sz w:val="24"/>
          <w:szCs w:val="24"/>
        </w:rPr>
        <w:t>：</w:t>
      </w:r>
    </w:p>
    <w:p>
      <w:pPr>
        <w:spacing w:line="312" w:lineRule="auto"/>
        <w:ind w:firstLine="480" w:firstLineChars="200"/>
        <w:rPr>
          <w:sz w:val="24"/>
          <w:szCs w:val="24"/>
        </w:rPr>
      </w:pPr>
      <w:r>
        <w:rPr>
          <w:sz w:val="24"/>
          <w:szCs w:val="24"/>
        </w:rPr>
        <w:t>POC5.1 清晰地介绍自己的个人背景、文化背景及职业发展规划；</w:t>
      </w:r>
    </w:p>
    <w:p>
      <w:pPr>
        <w:spacing w:line="312" w:lineRule="auto"/>
        <w:ind w:firstLine="480" w:firstLineChars="200"/>
        <w:rPr>
          <w:sz w:val="24"/>
          <w:szCs w:val="24"/>
        </w:rPr>
      </w:pPr>
      <w:r>
        <w:rPr>
          <w:sz w:val="24"/>
          <w:szCs w:val="24"/>
        </w:rPr>
        <w:t>POC5.2 阐述对优良传统精神及社会主义核心价值观的理解，并列举自己的践行实例及个人感悟；</w:t>
      </w:r>
    </w:p>
    <w:p>
      <w:pPr>
        <w:spacing w:line="312" w:lineRule="auto"/>
        <w:ind w:firstLine="480" w:firstLineChars="200"/>
        <w:rPr>
          <w:sz w:val="24"/>
          <w:szCs w:val="24"/>
        </w:rPr>
      </w:pPr>
      <w:r>
        <w:rPr>
          <w:sz w:val="24"/>
          <w:szCs w:val="24"/>
        </w:rPr>
        <w:t>POC5.3 运用至少三项方法或技能，锻炼与改善身体及心理素质</w:t>
      </w:r>
      <w:r>
        <w:rPr>
          <w:rFonts w:hint="eastAsia"/>
          <w:sz w:val="24"/>
          <w:szCs w:val="24"/>
        </w:rPr>
        <w:t>；</w:t>
      </w:r>
    </w:p>
    <w:p>
      <w:pPr>
        <w:spacing w:line="312" w:lineRule="auto"/>
        <w:ind w:firstLine="480" w:firstLineChars="200"/>
        <w:rPr>
          <w:sz w:val="24"/>
          <w:szCs w:val="24"/>
        </w:rPr>
      </w:pPr>
      <w:r>
        <w:rPr>
          <w:sz w:val="24"/>
          <w:szCs w:val="24"/>
        </w:rPr>
        <w:t>POC5.4 参与一个社区（或社团）项目，就其过程做出口头或书面的总结（报告），重点突出这次经历中自己主动性和责任心的体现，以及这次经历中个人的感悟；</w:t>
      </w:r>
    </w:p>
    <w:p>
      <w:pPr>
        <w:spacing w:line="312" w:lineRule="auto"/>
        <w:ind w:firstLine="480" w:firstLineChars="200"/>
        <w:rPr>
          <w:sz w:val="24"/>
          <w:szCs w:val="24"/>
        </w:rPr>
      </w:pPr>
      <w:r>
        <w:rPr>
          <w:sz w:val="24"/>
          <w:szCs w:val="24"/>
        </w:rPr>
        <w:t>POC5.5 指出一个跨国、跨洲或跨文化的经济的、环境的或公共卫生的挑战， 提供挑战的证据，并表明对此挑战的立场。</w:t>
      </w:r>
    </w:p>
    <w:p>
      <w:pPr>
        <w:spacing w:line="312" w:lineRule="auto"/>
        <w:ind w:firstLine="562" w:firstLineChars="200"/>
        <w:rPr>
          <w:b/>
          <w:bCs/>
          <w:sz w:val="28"/>
          <w:szCs w:val="28"/>
        </w:rPr>
      </w:pPr>
      <w:r>
        <w:rPr>
          <w:rFonts w:hint="eastAsia"/>
          <w:b/>
          <w:bCs/>
          <w:sz w:val="28"/>
          <w:szCs w:val="28"/>
          <w:lang w:val="en-US"/>
        </w:rPr>
        <w:t xml:space="preserve">16.4. </w:t>
      </w:r>
      <w:r>
        <w:rPr>
          <w:rFonts w:hint="eastAsia"/>
          <w:b/>
          <w:bCs/>
          <w:sz w:val="28"/>
          <w:szCs w:val="28"/>
        </w:rPr>
        <w:t>课程体系</w:t>
      </w:r>
    </w:p>
    <w:p>
      <w:pPr>
        <w:spacing w:line="312" w:lineRule="auto"/>
        <w:ind w:firstLine="482" w:firstLineChars="200"/>
        <w:rPr>
          <w:b/>
          <w:bCs/>
          <w:sz w:val="24"/>
          <w:szCs w:val="24"/>
        </w:rPr>
      </w:pPr>
      <w:r>
        <w:rPr>
          <w:rFonts w:hint="eastAsia"/>
          <w:b/>
          <w:bCs/>
          <w:sz w:val="24"/>
          <w:szCs w:val="24"/>
          <w:lang w:val="en-US"/>
        </w:rPr>
        <w:t xml:space="preserve">16.4.1 </w:t>
      </w:r>
      <w:r>
        <w:rPr>
          <w:rFonts w:hint="eastAsia"/>
          <w:b/>
          <w:bCs/>
          <w:sz w:val="24"/>
          <w:szCs w:val="24"/>
        </w:rPr>
        <w:t>课程分类与学分结构</w:t>
      </w:r>
    </w:p>
    <w:p>
      <w:pPr>
        <w:spacing w:line="312" w:lineRule="auto"/>
        <w:ind w:firstLine="480" w:firstLineChars="200"/>
        <w:rPr>
          <w:sz w:val="24"/>
          <w:szCs w:val="24"/>
        </w:rPr>
      </w:pPr>
      <w:r>
        <w:rPr>
          <w:sz w:val="24"/>
          <w:szCs w:val="24"/>
        </w:rPr>
        <w:t>在学分制体制下，融合岭南职院学历资格轮廓中专业领域与核心领域的范畴，本专业课程体系包括必修课程、分类限选课程、分类任选课程与分类选项课程共四类，所属两大板块：思政与博雅教育板块、专业教育板块。其中，两大板块的必修与限选课程属于核心学习领域；专业教育板块的所有课程属于专业学习领域。两大板块的必修课程的学分值合理地分布在岭南职院学历资格轮廓的五大学习领域，选修课学分是学生根据自己的选择，对上述领域的补充。</w:t>
      </w:r>
    </w:p>
    <w:p>
      <w:pPr>
        <w:spacing w:line="312" w:lineRule="auto"/>
        <w:ind w:firstLine="480" w:firstLineChars="200"/>
        <w:jc w:val="both"/>
        <w:rPr>
          <w:sz w:val="24"/>
          <w:szCs w:val="24"/>
        </w:rPr>
      </w:pPr>
      <w:r>
        <w:rPr>
          <w:sz w:val="24"/>
          <w:szCs w:val="24"/>
        </w:rPr>
        <w:t>本专业各类课程学分值分布如表1</w:t>
      </w:r>
      <w:r>
        <w:rPr>
          <w:rFonts w:hint="eastAsia"/>
          <w:sz w:val="24"/>
          <w:szCs w:val="24"/>
        </w:rPr>
        <w:t>6</w:t>
      </w:r>
      <w:r>
        <w:rPr>
          <w:sz w:val="24"/>
          <w:szCs w:val="24"/>
        </w:rPr>
        <w:t>-2所示：</w:t>
      </w:r>
    </w:p>
    <w:p>
      <w:pPr>
        <w:spacing w:line="312" w:lineRule="auto"/>
        <w:jc w:val="center"/>
        <w:rPr>
          <w:sz w:val="24"/>
          <w:szCs w:val="24"/>
        </w:rPr>
      </w:pPr>
      <w:r>
        <w:rPr>
          <w:sz w:val="24"/>
          <w:szCs w:val="24"/>
        </w:rPr>
        <w:t>表 1</w:t>
      </w:r>
      <w:r>
        <w:rPr>
          <w:rFonts w:hint="eastAsia"/>
          <w:sz w:val="24"/>
          <w:szCs w:val="24"/>
        </w:rPr>
        <w:t>6</w:t>
      </w:r>
      <w:r>
        <w:rPr>
          <w:sz w:val="24"/>
          <w:szCs w:val="24"/>
        </w:rPr>
        <w:t>-2 专业课程类型及学分值分布</w:t>
      </w: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09"/>
        <w:gridCol w:w="1052"/>
        <w:gridCol w:w="3144"/>
        <w:gridCol w:w="1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4261" w:type="dxa"/>
            <w:gridSpan w:val="2"/>
            <w:vAlign w:val="center"/>
          </w:tcPr>
          <w:p>
            <w:pPr>
              <w:spacing w:line="312" w:lineRule="auto"/>
              <w:jc w:val="center"/>
              <w:rPr>
                <w:b/>
                <w:bCs/>
                <w:sz w:val="21"/>
                <w:szCs w:val="21"/>
              </w:rPr>
            </w:pPr>
            <w:r>
              <w:rPr>
                <w:b/>
                <w:bCs/>
                <w:sz w:val="21"/>
                <w:szCs w:val="21"/>
              </w:rPr>
              <w:t>思政与博雅教育板块</w:t>
            </w:r>
          </w:p>
        </w:tc>
        <w:tc>
          <w:tcPr>
            <w:tcW w:w="4264" w:type="dxa"/>
            <w:gridSpan w:val="2"/>
            <w:vAlign w:val="center"/>
          </w:tcPr>
          <w:p>
            <w:pPr>
              <w:spacing w:line="312" w:lineRule="auto"/>
              <w:jc w:val="center"/>
              <w:rPr>
                <w:b/>
                <w:bCs/>
                <w:sz w:val="21"/>
                <w:szCs w:val="21"/>
              </w:rPr>
            </w:pPr>
            <w:r>
              <w:rPr>
                <w:b/>
                <w:bCs/>
                <w:sz w:val="21"/>
                <w:szCs w:val="21"/>
              </w:rPr>
              <w:t>专业教育板块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Align w:val="center"/>
          </w:tcPr>
          <w:p>
            <w:pPr>
              <w:spacing w:line="312" w:lineRule="auto"/>
              <w:jc w:val="center"/>
              <w:rPr>
                <w:b/>
                <w:bCs/>
                <w:sz w:val="21"/>
                <w:szCs w:val="21"/>
              </w:rPr>
            </w:pPr>
            <w:r>
              <w:rPr>
                <w:b/>
                <w:bCs/>
                <w:sz w:val="21"/>
                <w:szCs w:val="21"/>
              </w:rPr>
              <w:t>课程或活动类型</w:t>
            </w:r>
          </w:p>
        </w:tc>
        <w:tc>
          <w:tcPr>
            <w:tcW w:w="1052" w:type="dxa"/>
            <w:vAlign w:val="center"/>
          </w:tcPr>
          <w:p>
            <w:pPr>
              <w:spacing w:line="312" w:lineRule="auto"/>
              <w:jc w:val="center"/>
              <w:rPr>
                <w:b/>
                <w:bCs/>
                <w:sz w:val="21"/>
                <w:szCs w:val="21"/>
              </w:rPr>
            </w:pPr>
            <w:r>
              <w:rPr>
                <w:b/>
                <w:bCs/>
                <w:sz w:val="21"/>
                <w:szCs w:val="21"/>
              </w:rPr>
              <w:t>学分小计</w:t>
            </w:r>
          </w:p>
        </w:tc>
        <w:tc>
          <w:tcPr>
            <w:tcW w:w="3144" w:type="dxa"/>
            <w:vAlign w:val="center"/>
          </w:tcPr>
          <w:p>
            <w:pPr>
              <w:spacing w:line="312" w:lineRule="auto"/>
              <w:jc w:val="center"/>
              <w:rPr>
                <w:b/>
                <w:bCs/>
                <w:sz w:val="21"/>
                <w:szCs w:val="21"/>
              </w:rPr>
            </w:pPr>
            <w:r>
              <w:rPr>
                <w:b/>
                <w:bCs/>
                <w:sz w:val="21"/>
                <w:szCs w:val="21"/>
              </w:rPr>
              <w:t>课程或项目类型</w:t>
            </w:r>
          </w:p>
        </w:tc>
        <w:tc>
          <w:tcPr>
            <w:tcW w:w="1120" w:type="dxa"/>
            <w:vAlign w:val="center"/>
          </w:tcPr>
          <w:p>
            <w:pPr>
              <w:spacing w:line="312" w:lineRule="auto"/>
              <w:jc w:val="center"/>
              <w:rPr>
                <w:b/>
                <w:bCs/>
                <w:sz w:val="21"/>
                <w:szCs w:val="21"/>
              </w:rPr>
            </w:pPr>
            <w:r>
              <w:rPr>
                <w:b/>
                <w:bCs/>
                <w:sz w:val="21"/>
                <w:szCs w:val="21"/>
              </w:rPr>
              <w:t>学分小计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Align w:val="center"/>
          </w:tcPr>
          <w:p>
            <w:pPr>
              <w:spacing w:line="312" w:lineRule="auto"/>
              <w:rPr>
                <w:sz w:val="21"/>
                <w:szCs w:val="21"/>
              </w:rPr>
            </w:pPr>
            <w:r>
              <w:rPr>
                <w:sz w:val="21"/>
                <w:szCs w:val="21"/>
              </w:rPr>
              <w:t>公共基础课（必修）</w:t>
            </w:r>
          </w:p>
        </w:tc>
        <w:tc>
          <w:tcPr>
            <w:tcW w:w="1052" w:type="dxa"/>
            <w:vAlign w:val="center"/>
          </w:tcPr>
          <w:p>
            <w:pPr>
              <w:spacing w:line="312" w:lineRule="auto"/>
              <w:jc w:val="center"/>
              <w:rPr>
                <w:sz w:val="21"/>
                <w:szCs w:val="21"/>
              </w:rPr>
            </w:pPr>
            <w:r>
              <w:rPr>
                <w:sz w:val="21"/>
                <w:szCs w:val="21"/>
              </w:rPr>
              <w:t>3</w:t>
            </w:r>
            <w:r>
              <w:rPr>
                <w:rFonts w:hint="eastAsia"/>
                <w:sz w:val="21"/>
                <w:szCs w:val="21"/>
                <w:lang w:val="en-US"/>
              </w:rPr>
              <w:t>6</w:t>
            </w:r>
            <w:r>
              <w:rPr>
                <w:sz w:val="21"/>
                <w:szCs w:val="21"/>
              </w:rPr>
              <w:t>.5</w:t>
            </w:r>
          </w:p>
        </w:tc>
        <w:tc>
          <w:tcPr>
            <w:tcW w:w="3144" w:type="dxa"/>
            <w:vAlign w:val="center"/>
          </w:tcPr>
          <w:p>
            <w:pPr>
              <w:spacing w:line="312" w:lineRule="auto"/>
              <w:rPr>
                <w:sz w:val="21"/>
                <w:szCs w:val="21"/>
              </w:rPr>
            </w:pPr>
            <w:r>
              <w:rPr>
                <w:sz w:val="21"/>
                <w:szCs w:val="21"/>
              </w:rPr>
              <w:t>专业通用（必修）</w:t>
            </w:r>
          </w:p>
        </w:tc>
        <w:tc>
          <w:tcPr>
            <w:tcW w:w="1120" w:type="dxa"/>
          </w:tcPr>
          <w:p>
            <w:pPr>
              <w:spacing w:line="312" w:lineRule="auto"/>
              <w:jc w:val="center"/>
              <w:rPr>
                <w:sz w:val="21"/>
                <w:szCs w:val="21"/>
              </w:rPr>
            </w:pPr>
            <w:r>
              <w:rPr>
                <w:sz w:val="21"/>
                <w:szCs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Align w:val="center"/>
          </w:tcPr>
          <w:p>
            <w:pPr>
              <w:spacing w:line="312" w:lineRule="auto"/>
              <w:rPr>
                <w:sz w:val="21"/>
                <w:szCs w:val="21"/>
              </w:rPr>
            </w:pPr>
            <w:r>
              <w:rPr>
                <w:sz w:val="21"/>
                <w:szCs w:val="21"/>
              </w:rPr>
              <w:t>公共选修（分类任选含双创选修）</w:t>
            </w:r>
          </w:p>
        </w:tc>
        <w:tc>
          <w:tcPr>
            <w:tcW w:w="1052" w:type="dxa"/>
            <w:vAlign w:val="center"/>
          </w:tcPr>
          <w:p>
            <w:pPr>
              <w:spacing w:line="312" w:lineRule="auto"/>
              <w:jc w:val="center"/>
              <w:rPr>
                <w:sz w:val="21"/>
                <w:szCs w:val="21"/>
              </w:rPr>
            </w:pPr>
            <w:r>
              <w:rPr>
                <w:sz w:val="21"/>
                <w:szCs w:val="21"/>
              </w:rPr>
              <w:t>10</w:t>
            </w:r>
          </w:p>
        </w:tc>
        <w:tc>
          <w:tcPr>
            <w:tcW w:w="3144" w:type="dxa"/>
            <w:vAlign w:val="center"/>
          </w:tcPr>
          <w:p>
            <w:pPr>
              <w:spacing w:line="312" w:lineRule="auto"/>
              <w:rPr>
                <w:sz w:val="21"/>
                <w:szCs w:val="21"/>
              </w:rPr>
            </w:pPr>
            <w:r>
              <w:rPr>
                <w:sz w:val="21"/>
                <w:szCs w:val="21"/>
              </w:rPr>
              <w:t>专业核心（必修）</w:t>
            </w:r>
          </w:p>
        </w:tc>
        <w:tc>
          <w:tcPr>
            <w:tcW w:w="1120" w:type="dxa"/>
          </w:tcPr>
          <w:p>
            <w:pPr>
              <w:spacing w:line="312" w:lineRule="auto"/>
              <w:jc w:val="center"/>
              <w:rPr>
                <w:sz w:val="21"/>
                <w:szCs w:val="21"/>
              </w:rPr>
            </w:pPr>
            <w:r>
              <w:rPr>
                <w:sz w:val="21"/>
                <w:szCs w:val="21"/>
              </w:rPr>
              <w:t>25.5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Align w:val="center"/>
          </w:tcPr>
          <w:p>
            <w:pPr>
              <w:spacing w:line="312" w:lineRule="auto"/>
              <w:rPr>
                <w:sz w:val="21"/>
                <w:szCs w:val="21"/>
              </w:rPr>
            </w:pPr>
            <w:r>
              <w:rPr>
                <w:sz w:val="21"/>
                <w:szCs w:val="21"/>
              </w:rPr>
              <w:t>公共选修（分类选项）</w:t>
            </w:r>
          </w:p>
        </w:tc>
        <w:tc>
          <w:tcPr>
            <w:tcW w:w="1052" w:type="dxa"/>
            <w:vAlign w:val="center"/>
          </w:tcPr>
          <w:p>
            <w:pPr>
              <w:spacing w:line="312" w:lineRule="auto"/>
              <w:jc w:val="center"/>
              <w:rPr>
                <w:sz w:val="21"/>
                <w:szCs w:val="21"/>
              </w:rPr>
            </w:pPr>
            <w:r>
              <w:rPr>
                <w:rFonts w:hint="eastAsia"/>
                <w:sz w:val="21"/>
                <w:szCs w:val="21"/>
                <w:lang w:val="en-US"/>
              </w:rPr>
              <w:t>4</w:t>
            </w:r>
          </w:p>
        </w:tc>
        <w:tc>
          <w:tcPr>
            <w:tcW w:w="3144" w:type="dxa"/>
            <w:vAlign w:val="center"/>
          </w:tcPr>
          <w:p>
            <w:pPr>
              <w:spacing w:line="312" w:lineRule="auto"/>
              <w:rPr>
                <w:sz w:val="21"/>
                <w:szCs w:val="21"/>
              </w:rPr>
            </w:pPr>
            <w:r>
              <w:rPr>
                <w:sz w:val="21"/>
                <w:szCs w:val="21"/>
              </w:rPr>
              <w:t>专业综合训练（含毕业实践环节、毕业双创成果考核）</w:t>
            </w:r>
          </w:p>
        </w:tc>
        <w:tc>
          <w:tcPr>
            <w:tcW w:w="1120" w:type="dxa"/>
          </w:tcPr>
          <w:p>
            <w:pPr>
              <w:spacing w:line="312" w:lineRule="auto"/>
              <w:jc w:val="center"/>
              <w:rPr>
                <w:sz w:val="21"/>
                <w:szCs w:val="21"/>
              </w:rPr>
            </w:pPr>
            <w:r>
              <w:rPr>
                <w:sz w:val="21"/>
                <w:szCs w:val="21"/>
              </w:rPr>
              <w:t>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Merge w:val="restart"/>
            <w:vAlign w:val="center"/>
          </w:tcPr>
          <w:p>
            <w:pPr>
              <w:spacing w:line="312" w:lineRule="auto"/>
              <w:rPr>
                <w:sz w:val="21"/>
                <w:szCs w:val="21"/>
              </w:rPr>
            </w:pPr>
            <w:r>
              <w:rPr>
                <w:rFonts w:hint="eastAsia"/>
                <w:sz w:val="21"/>
                <w:szCs w:val="21"/>
              </w:rPr>
              <w:t>创新创业</w:t>
            </w:r>
            <w:r>
              <w:rPr>
                <w:sz w:val="21"/>
                <w:szCs w:val="21"/>
              </w:rPr>
              <w:t>（5+3选项）</w:t>
            </w:r>
            <w:r>
              <w:rPr>
                <w:rFonts w:hint="eastAsia"/>
                <w:sz w:val="21"/>
                <w:szCs w:val="21"/>
              </w:rPr>
              <w:t>实践</w:t>
            </w:r>
          </w:p>
        </w:tc>
        <w:tc>
          <w:tcPr>
            <w:tcW w:w="1052" w:type="dxa"/>
            <w:vMerge w:val="restart"/>
            <w:vAlign w:val="center"/>
          </w:tcPr>
          <w:p>
            <w:pPr>
              <w:spacing w:line="312" w:lineRule="auto"/>
              <w:jc w:val="center"/>
              <w:rPr>
                <w:sz w:val="21"/>
                <w:szCs w:val="21"/>
              </w:rPr>
            </w:pPr>
            <w:r>
              <w:rPr>
                <w:sz w:val="21"/>
                <w:szCs w:val="21"/>
              </w:rPr>
              <w:t>4</w:t>
            </w:r>
          </w:p>
        </w:tc>
        <w:tc>
          <w:tcPr>
            <w:tcW w:w="3144" w:type="dxa"/>
            <w:vAlign w:val="center"/>
          </w:tcPr>
          <w:p>
            <w:pPr>
              <w:spacing w:line="312" w:lineRule="auto"/>
              <w:rPr>
                <w:sz w:val="21"/>
                <w:szCs w:val="21"/>
              </w:rPr>
            </w:pPr>
            <w:r>
              <w:rPr>
                <w:sz w:val="21"/>
                <w:szCs w:val="21"/>
              </w:rPr>
              <w:t>专业选修（分类限选）</w:t>
            </w:r>
          </w:p>
        </w:tc>
        <w:tc>
          <w:tcPr>
            <w:tcW w:w="1120" w:type="dxa"/>
            <w:vAlign w:val="center"/>
          </w:tcPr>
          <w:p>
            <w:pPr>
              <w:spacing w:line="312" w:lineRule="auto"/>
              <w:jc w:val="center"/>
              <w:rPr>
                <w:sz w:val="21"/>
                <w:szCs w:val="21"/>
              </w:rPr>
            </w:pPr>
            <w:r>
              <w:rPr>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Merge w:val="continue"/>
            <w:vAlign w:val="center"/>
          </w:tcPr>
          <w:p>
            <w:pPr>
              <w:spacing w:line="312" w:lineRule="auto"/>
              <w:rPr>
                <w:sz w:val="21"/>
                <w:szCs w:val="21"/>
              </w:rPr>
            </w:pPr>
          </w:p>
        </w:tc>
        <w:tc>
          <w:tcPr>
            <w:tcW w:w="1052" w:type="dxa"/>
            <w:vMerge w:val="continue"/>
            <w:vAlign w:val="center"/>
          </w:tcPr>
          <w:p>
            <w:pPr>
              <w:spacing w:line="312" w:lineRule="auto"/>
              <w:jc w:val="center"/>
              <w:rPr>
                <w:sz w:val="21"/>
                <w:szCs w:val="21"/>
              </w:rPr>
            </w:pPr>
          </w:p>
        </w:tc>
        <w:tc>
          <w:tcPr>
            <w:tcW w:w="3144" w:type="dxa"/>
            <w:vAlign w:val="center"/>
          </w:tcPr>
          <w:p>
            <w:pPr>
              <w:spacing w:line="312" w:lineRule="auto"/>
              <w:rPr>
                <w:sz w:val="21"/>
                <w:szCs w:val="21"/>
              </w:rPr>
            </w:pPr>
            <w:r>
              <w:rPr>
                <w:rFonts w:hint="eastAsia"/>
                <w:sz w:val="21"/>
                <w:szCs w:val="21"/>
              </w:rPr>
              <w:t>创新创业</w:t>
            </w:r>
            <w:r>
              <w:rPr>
                <w:sz w:val="21"/>
                <w:szCs w:val="21"/>
              </w:rPr>
              <w:t>（5+3选项）实践</w:t>
            </w:r>
          </w:p>
        </w:tc>
        <w:tc>
          <w:tcPr>
            <w:tcW w:w="1120" w:type="dxa"/>
            <w:vAlign w:val="center"/>
          </w:tcPr>
          <w:p>
            <w:pPr>
              <w:spacing w:line="312" w:lineRule="auto"/>
              <w:jc w:val="center"/>
              <w:rPr>
                <w:sz w:val="21"/>
                <w:szCs w:val="21"/>
              </w:rPr>
            </w:pPr>
            <w:r>
              <w:rPr>
                <w:sz w:val="21"/>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209" w:type="dxa"/>
            <w:vAlign w:val="center"/>
          </w:tcPr>
          <w:p>
            <w:pPr>
              <w:spacing w:line="312" w:lineRule="auto"/>
              <w:jc w:val="center"/>
              <w:rPr>
                <w:b/>
                <w:bCs/>
                <w:sz w:val="21"/>
                <w:szCs w:val="21"/>
              </w:rPr>
            </w:pPr>
            <w:r>
              <w:rPr>
                <w:b/>
                <w:bCs/>
                <w:sz w:val="21"/>
                <w:szCs w:val="21"/>
              </w:rPr>
              <w:t>合计</w:t>
            </w:r>
          </w:p>
        </w:tc>
        <w:tc>
          <w:tcPr>
            <w:tcW w:w="1052" w:type="dxa"/>
            <w:vAlign w:val="center"/>
          </w:tcPr>
          <w:p>
            <w:pPr>
              <w:spacing w:line="312" w:lineRule="auto"/>
              <w:jc w:val="center"/>
              <w:rPr>
                <w:b/>
                <w:bCs/>
                <w:sz w:val="21"/>
                <w:szCs w:val="21"/>
              </w:rPr>
            </w:pPr>
            <w:r>
              <w:rPr>
                <w:b/>
                <w:bCs/>
                <w:sz w:val="21"/>
                <w:szCs w:val="21"/>
              </w:rPr>
              <w:t>54.5</w:t>
            </w:r>
          </w:p>
        </w:tc>
        <w:tc>
          <w:tcPr>
            <w:tcW w:w="3144" w:type="dxa"/>
            <w:vAlign w:val="center"/>
          </w:tcPr>
          <w:p>
            <w:pPr>
              <w:spacing w:line="312" w:lineRule="auto"/>
              <w:jc w:val="center"/>
              <w:rPr>
                <w:b/>
                <w:bCs/>
                <w:sz w:val="21"/>
                <w:szCs w:val="21"/>
              </w:rPr>
            </w:pPr>
            <w:r>
              <w:rPr>
                <w:b/>
                <w:bCs/>
                <w:sz w:val="21"/>
                <w:szCs w:val="21"/>
              </w:rPr>
              <w:t>合计</w:t>
            </w:r>
          </w:p>
        </w:tc>
        <w:tc>
          <w:tcPr>
            <w:tcW w:w="1120" w:type="dxa"/>
            <w:vAlign w:val="center"/>
          </w:tcPr>
          <w:p>
            <w:pPr>
              <w:spacing w:line="312" w:lineRule="auto"/>
              <w:jc w:val="center"/>
              <w:rPr>
                <w:b/>
                <w:bCs/>
                <w:sz w:val="21"/>
                <w:szCs w:val="21"/>
              </w:rPr>
            </w:pPr>
            <w:r>
              <w:rPr>
                <w:b/>
                <w:bCs/>
                <w:sz w:val="21"/>
                <w:szCs w:val="21"/>
              </w:rPr>
              <w:t>93.5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8525" w:type="dxa"/>
            <w:gridSpan w:val="4"/>
            <w:vAlign w:val="center"/>
          </w:tcPr>
          <w:p>
            <w:pPr>
              <w:spacing w:line="312" w:lineRule="auto"/>
              <w:jc w:val="center"/>
              <w:rPr>
                <w:b/>
                <w:bCs/>
                <w:sz w:val="21"/>
                <w:szCs w:val="21"/>
              </w:rPr>
            </w:pPr>
            <w:r>
              <w:rPr>
                <w:b/>
                <w:bCs/>
                <w:sz w:val="21"/>
                <w:szCs w:val="21"/>
              </w:rPr>
              <w:t>总学分：148</w:t>
            </w:r>
          </w:p>
        </w:tc>
      </w:tr>
    </w:tbl>
    <w:p>
      <w:pPr>
        <w:spacing w:line="312" w:lineRule="auto"/>
        <w:rPr>
          <w:sz w:val="24"/>
          <w:szCs w:val="24"/>
        </w:rPr>
      </w:pPr>
    </w:p>
    <w:p>
      <w:pPr>
        <w:spacing w:line="312" w:lineRule="auto"/>
        <w:ind w:firstLine="482" w:firstLineChars="200"/>
        <w:rPr>
          <w:b/>
          <w:bCs/>
          <w:sz w:val="24"/>
          <w:szCs w:val="24"/>
        </w:rPr>
      </w:pPr>
      <w:r>
        <w:rPr>
          <w:rFonts w:hint="eastAsia"/>
          <w:b/>
          <w:bCs/>
          <w:sz w:val="24"/>
          <w:szCs w:val="24"/>
          <w:lang w:val="en-US"/>
        </w:rPr>
        <w:t xml:space="preserve">16.4.2 </w:t>
      </w:r>
      <w:r>
        <w:rPr>
          <w:rFonts w:hint="eastAsia"/>
          <w:b/>
          <w:bCs/>
          <w:sz w:val="24"/>
          <w:szCs w:val="24"/>
        </w:rPr>
        <w:t>必修课程及其在五大学习领域学习成果分布</w:t>
      </w:r>
    </w:p>
    <w:p>
      <w:pPr>
        <w:spacing w:line="312" w:lineRule="auto"/>
        <w:ind w:firstLine="480" w:firstLineChars="200"/>
        <w:rPr>
          <w:sz w:val="24"/>
          <w:szCs w:val="24"/>
        </w:rPr>
      </w:pPr>
      <w:r>
        <w:rPr>
          <w:sz w:val="24"/>
          <w:szCs w:val="24"/>
        </w:rPr>
        <w:t>要达到本专业的“专业预期学习成果”（POC），学生需要修读本专业的一系列课程，通过各课程的学习完成相应的“课程预期学习成果”（ Subject Outcome ，简称SOC），以支撑、实现 “专业预期学习成果”（POC）的达成， 从而达到本专业对毕业生的要求。本专业必修课程与“专业预期学习成果”（POC）的对应关系如表1</w:t>
      </w:r>
      <w:r>
        <w:rPr>
          <w:rFonts w:hint="eastAsia"/>
          <w:sz w:val="24"/>
          <w:szCs w:val="24"/>
        </w:rPr>
        <w:t>6</w:t>
      </w:r>
      <w:r>
        <w:rPr>
          <w:sz w:val="24"/>
          <w:szCs w:val="24"/>
        </w:rPr>
        <w:t>-3所示：</w:t>
      </w: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ind w:firstLine="480" w:firstLineChars="200"/>
        <w:rPr>
          <w:sz w:val="24"/>
          <w:szCs w:val="24"/>
          <w:lang w:val="en-US" w:bidi="ar-SA"/>
        </w:rPr>
      </w:pPr>
    </w:p>
    <w:p>
      <w:pPr>
        <w:spacing w:line="312" w:lineRule="auto"/>
        <w:rPr>
          <w:sz w:val="24"/>
          <w:szCs w:val="24"/>
          <w:lang w:val="en-US" w:bidi="ar-SA"/>
        </w:rPr>
      </w:pPr>
    </w:p>
    <w:p>
      <w:pPr>
        <w:spacing w:line="312" w:lineRule="auto"/>
        <w:ind w:firstLine="480" w:firstLineChars="200"/>
        <w:jc w:val="center"/>
        <w:rPr>
          <w:sz w:val="24"/>
          <w:szCs w:val="24"/>
          <w:lang w:val="en-US" w:bidi="ar-SA"/>
        </w:rPr>
      </w:pPr>
      <w:r>
        <w:rPr>
          <w:rFonts w:hint="eastAsia"/>
          <w:sz w:val="24"/>
          <w:szCs w:val="24"/>
          <w:lang w:val="en-US" w:bidi="ar-SA"/>
        </w:rPr>
        <w:t>表</w:t>
      </w:r>
      <w:r>
        <w:rPr>
          <w:sz w:val="24"/>
          <w:szCs w:val="24"/>
          <w:lang w:val="en-US" w:bidi="ar-SA"/>
        </w:rPr>
        <w:t>1</w:t>
      </w:r>
      <w:r>
        <w:rPr>
          <w:rFonts w:hint="eastAsia"/>
          <w:sz w:val="24"/>
          <w:szCs w:val="24"/>
          <w:lang w:val="en-US" w:bidi="ar-SA"/>
        </w:rPr>
        <w:t>6</w:t>
      </w:r>
      <w:r>
        <w:rPr>
          <w:sz w:val="24"/>
          <w:szCs w:val="24"/>
          <w:lang w:val="en-US" w:bidi="ar-SA"/>
        </w:rPr>
        <w:t>-3 电子信息工程技术专业预期学习成果的必修课程分布表</w:t>
      </w:r>
    </w:p>
    <w:p>
      <w:pPr>
        <w:spacing w:line="312" w:lineRule="auto"/>
        <w:ind w:firstLine="440" w:firstLineChars="200"/>
        <w:jc w:val="center"/>
        <w:rPr>
          <w:sz w:val="24"/>
          <w:szCs w:val="24"/>
        </w:rPr>
      </w:pPr>
      <w:r>
        <w:rPr>
          <w:lang w:val="en-US" w:bidi="ar-SA"/>
        </w:rPr>
        <w:drawing>
          <wp:inline distT="0" distB="0" distL="0" distR="0">
            <wp:extent cx="5568950" cy="33197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68950" cy="3319786"/>
                    </a:xfrm>
                    <a:prstGeom prst="rect">
                      <a:avLst/>
                    </a:prstGeom>
                    <a:noFill/>
                    <a:ln>
                      <a:noFill/>
                    </a:ln>
                  </pic:spPr>
                </pic:pic>
              </a:graphicData>
            </a:graphic>
          </wp:inline>
        </w:drawing>
      </w:r>
    </w:p>
    <w:p>
      <w:pPr>
        <w:spacing w:line="312" w:lineRule="auto"/>
        <w:ind w:firstLine="480" w:firstLineChars="200"/>
        <w:rPr>
          <w:sz w:val="24"/>
          <w:szCs w:val="24"/>
        </w:rPr>
      </w:pPr>
      <w:r>
        <w:rPr>
          <w:sz w:val="24"/>
          <w:szCs w:val="24"/>
        </w:rPr>
        <w:t>本专业的"五大学习领域"必修课程学分值分布如表1</w:t>
      </w:r>
      <w:r>
        <w:rPr>
          <w:rFonts w:hint="eastAsia"/>
          <w:sz w:val="24"/>
          <w:szCs w:val="24"/>
        </w:rPr>
        <w:t>6</w:t>
      </w:r>
      <w:r>
        <w:rPr>
          <w:sz w:val="24"/>
          <w:szCs w:val="24"/>
        </w:rPr>
        <w:t>-4所示：</w:t>
      </w:r>
    </w:p>
    <w:p>
      <w:pPr>
        <w:spacing w:line="312" w:lineRule="auto"/>
        <w:jc w:val="center"/>
        <w:rPr>
          <w:sz w:val="24"/>
          <w:szCs w:val="24"/>
        </w:rPr>
      </w:pPr>
      <w:r>
        <w:rPr>
          <w:sz w:val="24"/>
          <w:szCs w:val="24"/>
        </w:rPr>
        <w:t>表 1</w:t>
      </w:r>
      <w:r>
        <w:rPr>
          <w:rFonts w:hint="eastAsia"/>
          <w:sz w:val="24"/>
          <w:szCs w:val="24"/>
        </w:rPr>
        <w:t>6</w:t>
      </w:r>
      <w:r>
        <w:rPr>
          <w:sz w:val="24"/>
          <w:szCs w:val="24"/>
        </w:rPr>
        <w:t>-4 五大学习领域必修课程学分值分布表</w:t>
      </w:r>
    </w:p>
    <w:tbl>
      <w:tblPr>
        <w:tblStyle w:val="7"/>
        <w:tblW w:w="0" w:type="auto"/>
        <w:tblInd w:w="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7"/>
        <w:gridCol w:w="6240"/>
        <w:gridCol w:w="1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257" w:type="dxa"/>
            <w:gridSpan w:val="2"/>
          </w:tcPr>
          <w:p>
            <w:pPr>
              <w:spacing w:line="312" w:lineRule="auto"/>
              <w:jc w:val="center"/>
              <w:rPr>
                <w:b/>
                <w:bCs/>
                <w:sz w:val="21"/>
                <w:szCs w:val="21"/>
              </w:rPr>
            </w:pPr>
            <w:r>
              <w:rPr>
                <w:b/>
                <w:bCs/>
                <w:sz w:val="21"/>
                <w:szCs w:val="21"/>
              </w:rPr>
              <w:t>学习领域</w:t>
            </w:r>
          </w:p>
        </w:tc>
        <w:tc>
          <w:tcPr>
            <w:tcW w:w="1184" w:type="dxa"/>
          </w:tcPr>
          <w:p>
            <w:pPr>
              <w:spacing w:line="312" w:lineRule="auto"/>
              <w:jc w:val="center"/>
              <w:rPr>
                <w:b/>
                <w:bCs/>
                <w:sz w:val="21"/>
                <w:szCs w:val="21"/>
              </w:rPr>
            </w:pPr>
            <w:r>
              <w:rPr>
                <w:b/>
                <w:bCs/>
                <w:sz w:val="21"/>
                <w:szCs w:val="21"/>
              </w:rPr>
              <w:t>学分值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17" w:type="dxa"/>
          </w:tcPr>
          <w:p>
            <w:pPr>
              <w:spacing w:line="312" w:lineRule="auto"/>
              <w:jc w:val="center"/>
              <w:rPr>
                <w:sz w:val="21"/>
                <w:szCs w:val="21"/>
              </w:rPr>
            </w:pPr>
            <w:r>
              <w:rPr>
                <w:sz w:val="21"/>
                <w:szCs w:val="21"/>
              </w:rPr>
              <w:t>POC1</w:t>
            </w:r>
          </w:p>
        </w:tc>
        <w:tc>
          <w:tcPr>
            <w:tcW w:w="6240" w:type="dxa"/>
          </w:tcPr>
          <w:p>
            <w:pPr>
              <w:spacing w:line="312" w:lineRule="auto"/>
              <w:rPr>
                <w:sz w:val="21"/>
                <w:szCs w:val="21"/>
              </w:rPr>
            </w:pPr>
            <w:r>
              <w:rPr>
                <w:sz w:val="21"/>
                <w:szCs w:val="21"/>
              </w:rPr>
              <w:t>专业知识（Specialized Knowledge）</w:t>
            </w:r>
          </w:p>
        </w:tc>
        <w:tc>
          <w:tcPr>
            <w:tcW w:w="1184" w:type="dxa"/>
          </w:tcPr>
          <w:p>
            <w:pPr>
              <w:jc w:val="center"/>
              <w:rPr>
                <w:sz w:val="21"/>
                <w:szCs w:val="21"/>
                <w:lang w:val="en-US"/>
              </w:rPr>
            </w:pPr>
            <w:r>
              <w:rPr>
                <w:rFonts w:hint="eastAsia"/>
                <w:sz w:val="21"/>
                <w:szCs w:val="21"/>
                <w:lang w:val="en-US"/>
              </w:rPr>
              <w:t>29.6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17" w:type="dxa"/>
          </w:tcPr>
          <w:p>
            <w:pPr>
              <w:spacing w:line="312" w:lineRule="auto"/>
              <w:jc w:val="center"/>
              <w:rPr>
                <w:sz w:val="21"/>
                <w:szCs w:val="21"/>
              </w:rPr>
            </w:pPr>
            <w:r>
              <w:rPr>
                <w:sz w:val="21"/>
                <w:szCs w:val="21"/>
              </w:rPr>
              <w:t>POC2</w:t>
            </w:r>
          </w:p>
        </w:tc>
        <w:tc>
          <w:tcPr>
            <w:tcW w:w="6240" w:type="dxa"/>
          </w:tcPr>
          <w:p>
            <w:pPr>
              <w:spacing w:line="312" w:lineRule="auto"/>
              <w:rPr>
                <w:sz w:val="21"/>
                <w:szCs w:val="21"/>
              </w:rPr>
            </w:pPr>
            <w:r>
              <w:rPr>
                <w:sz w:val="21"/>
                <w:szCs w:val="21"/>
              </w:rPr>
              <w:t>广泛与融合的知识(Broad and Integrative Knowledge)</w:t>
            </w:r>
          </w:p>
        </w:tc>
        <w:tc>
          <w:tcPr>
            <w:tcW w:w="1184" w:type="dxa"/>
          </w:tcPr>
          <w:p>
            <w:pPr>
              <w:jc w:val="center"/>
              <w:rPr>
                <w:sz w:val="21"/>
                <w:szCs w:val="21"/>
                <w:lang w:val="en-US"/>
              </w:rPr>
            </w:pPr>
            <w:r>
              <w:rPr>
                <w:rFonts w:hint="eastAsia"/>
                <w:sz w:val="21"/>
                <w:szCs w:val="21"/>
                <w:lang w:val="en-US"/>
              </w:rPr>
              <w:t>22.1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17" w:type="dxa"/>
          </w:tcPr>
          <w:p>
            <w:pPr>
              <w:spacing w:line="312" w:lineRule="auto"/>
              <w:jc w:val="center"/>
              <w:rPr>
                <w:sz w:val="21"/>
                <w:szCs w:val="21"/>
              </w:rPr>
            </w:pPr>
            <w:r>
              <w:rPr>
                <w:sz w:val="21"/>
                <w:szCs w:val="21"/>
              </w:rPr>
              <w:t>POC3</w:t>
            </w:r>
          </w:p>
        </w:tc>
        <w:tc>
          <w:tcPr>
            <w:tcW w:w="6240" w:type="dxa"/>
          </w:tcPr>
          <w:p>
            <w:pPr>
              <w:spacing w:line="312" w:lineRule="auto"/>
              <w:rPr>
                <w:sz w:val="21"/>
                <w:szCs w:val="21"/>
              </w:rPr>
            </w:pPr>
            <w:r>
              <w:rPr>
                <w:sz w:val="21"/>
                <w:szCs w:val="21"/>
              </w:rPr>
              <w:t>智力技能(Intellectual Skills)</w:t>
            </w:r>
          </w:p>
        </w:tc>
        <w:tc>
          <w:tcPr>
            <w:tcW w:w="1184" w:type="dxa"/>
          </w:tcPr>
          <w:p>
            <w:pPr>
              <w:jc w:val="center"/>
              <w:rPr>
                <w:sz w:val="21"/>
                <w:szCs w:val="21"/>
                <w:lang w:val="en-US"/>
              </w:rPr>
            </w:pPr>
            <w:r>
              <w:rPr>
                <w:rFonts w:hint="eastAsia"/>
                <w:sz w:val="21"/>
                <w:szCs w:val="21"/>
                <w:lang w:val="en-US"/>
              </w:rPr>
              <w:t>38.4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17" w:type="dxa"/>
          </w:tcPr>
          <w:p>
            <w:pPr>
              <w:spacing w:line="312" w:lineRule="auto"/>
              <w:jc w:val="center"/>
              <w:rPr>
                <w:sz w:val="21"/>
                <w:szCs w:val="21"/>
              </w:rPr>
            </w:pPr>
            <w:r>
              <w:rPr>
                <w:sz w:val="21"/>
                <w:szCs w:val="21"/>
              </w:rPr>
              <w:t>POC4</w:t>
            </w:r>
          </w:p>
        </w:tc>
        <w:tc>
          <w:tcPr>
            <w:tcW w:w="6240" w:type="dxa"/>
          </w:tcPr>
          <w:p>
            <w:pPr>
              <w:spacing w:line="312" w:lineRule="auto"/>
              <w:rPr>
                <w:sz w:val="21"/>
                <w:szCs w:val="21"/>
              </w:rPr>
            </w:pPr>
            <w:r>
              <w:rPr>
                <w:sz w:val="21"/>
                <w:szCs w:val="21"/>
              </w:rPr>
              <w:t>应用和协作学习(Applied and Collaborative Learning)</w:t>
            </w:r>
          </w:p>
        </w:tc>
        <w:tc>
          <w:tcPr>
            <w:tcW w:w="1184" w:type="dxa"/>
          </w:tcPr>
          <w:p>
            <w:pPr>
              <w:jc w:val="center"/>
              <w:rPr>
                <w:sz w:val="21"/>
                <w:szCs w:val="21"/>
                <w:lang w:val="en-US"/>
              </w:rPr>
            </w:pPr>
            <w:r>
              <w:rPr>
                <w:rFonts w:hint="eastAsia"/>
                <w:sz w:val="21"/>
                <w:szCs w:val="21"/>
                <w:lang w:val="en-US"/>
              </w:rPr>
              <w:t>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17" w:type="dxa"/>
          </w:tcPr>
          <w:p>
            <w:pPr>
              <w:spacing w:line="312" w:lineRule="auto"/>
              <w:jc w:val="center"/>
              <w:rPr>
                <w:sz w:val="21"/>
                <w:szCs w:val="21"/>
              </w:rPr>
            </w:pPr>
            <w:r>
              <w:rPr>
                <w:sz w:val="21"/>
                <w:szCs w:val="21"/>
              </w:rPr>
              <w:t>POC5</w:t>
            </w:r>
          </w:p>
        </w:tc>
        <w:tc>
          <w:tcPr>
            <w:tcW w:w="6240" w:type="dxa"/>
          </w:tcPr>
          <w:p>
            <w:pPr>
              <w:spacing w:line="312" w:lineRule="auto"/>
              <w:rPr>
                <w:sz w:val="21"/>
                <w:szCs w:val="21"/>
              </w:rPr>
            </w:pPr>
            <w:r>
              <w:rPr>
                <w:sz w:val="21"/>
                <w:szCs w:val="21"/>
              </w:rPr>
              <w:t>公民和全球学习(Civic and Global Learning)</w:t>
            </w:r>
          </w:p>
        </w:tc>
        <w:tc>
          <w:tcPr>
            <w:tcW w:w="1184" w:type="dxa"/>
          </w:tcPr>
          <w:p>
            <w:pPr>
              <w:jc w:val="center"/>
              <w:rPr>
                <w:sz w:val="21"/>
                <w:szCs w:val="21"/>
                <w:lang w:val="en-US"/>
              </w:rPr>
            </w:pPr>
            <w:r>
              <w:rPr>
                <w:rFonts w:hint="eastAsia"/>
                <w:sz w:val="21"/>
                <w:szCs w:val="21"/>
                <w:lang w:val="en-US"/>
              </w:rPr>
              <w:t>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257" w:type="dxa"/>
            <w:gridSpan w:val="2"/>
          </w:tcPr>
          <w:p>
            <w:pPr>
              <w:spacing w:line="312" w:lineRule="auto"/>
              <w:jc w:val="center"/>
              <w:rPr>
                <w:sz w:val="21"/>
                <w:szCs w:val="21"/>
              </w:rPr>
            </w:pPr>
            <w:r>
              <w:rPr>
                <w:sz w:val="21"/>
                <w:szCs w:val="21"/>
              </w:rPr>
              <w:t>必修课总学分</w:t>
            </w:r>
          </w:p>
        </w:tc>
        <w:tc>
          <w:tcPr>
            <w:tcW w:w="1184" w:type="dxa"/>
          </w:tcPr>
          <w:p>
            <w:pPr>
              <w:spacing w:line="312" w:lineRule="auto"/>
              <w:jc w:val="center"/>
              <w:rPr>
                <w:sz w:val="21"/>
                <w:szCs w:val="21"/>
              </w:rPr>
            </w:pPr>
            <w:r>
              <w:rPr>
                <w:sz w:val="21"/>
                <w:szCs w:val="21"/>
              </w:rPr>
              <w:t>11</w:t>
            </w:r>
            <w:r>
              <w:rPr>
                <w:rFonts w:hint="eastAsia"/>
                <w:sz w:val="21"/>
                <w:szCs w:val="21"/>
                <w:lang w:val="en-US"/>
              </w:rPr>
              <w:t>4</w:t>
            </w:r>
          </w:p>
        </w:tc>
      </w:tr>
    </w:tbl>
    <w:p>
      <w:pPr>
        <w:spacing w:before="240" w:beforeLines="100" w:line="312" w:lineRule="auto"/>
        <w:ind w:firstLine="480" w:firstLineChars="200"/>
        <w:rPr>
          <w:sz w:val="24"/>
          <w:szCs w:val="24"/>
        </w:rPr>
      </w:pPr>
    </w:p>
    <w:p>
      <w:pPr>
        <w:spacing w:before="240" w:beforeLines="100" w:line="312" w:lineRule="auto"/>
        <w:ind w:firstLine="480" w:firstLineChars="200"/>
        <w:rPr>
          <w:sz w:val="24"/>
          <w:szCs w:val="24"/>
        </w:rPr>
      </w:pPr>
      <w:r>
        <w:rPr>
          <w:sz w:val="24"/>
          <w:szCs w:val="24"/>
        </w:rPr>
        <w:t>本专业的"五大学习领域"必修课程学分值分布图如图1</w:t>
      </w:r>
      <w:r>
        <w:rPr>
          <w:rFonts w:hint="eastAsia"/>
          <w:sz w:val="24"/>
          <w:szCs w:val="24"/>
        </w:rPr>
        <w:t>6</w:t>
      </w:r>
      <w:r>
        <w:rPr>
          <w:sz w:val="24"/>
          <w:szCs w:val="24"/>
        </w:rPr>
        <w:t>-1所示：</w:t>
      </w:r>
    </w:p>
    <w:p>
      <w:pPr>
        <w:spacing w:before="240" w:beforeLines="100" w:line="312" w:lineRule="auto"/>
        <w:ind w:firstLine="440" w:firstLineChars="200"/>
        <w:rPr>
          <w:sz w:val="24"/>
          <w:szCs w:val="24"/>
        </w:rPr>
      </w:pPr>
      <w:r>
        <w:rPr>
          <w:lang w:val="en-US" w:bidi="ar-SA"/>
        </w:rPr>
        <w:drawing>
          <wp:inline distT="0" distB="0" distL="114300" distR="114300">
            <wp:extent cx="4375785" cy="3387725"/>
            <wp:effectExtent l="0" t="0" r="5715" b="3175"/>
            <wp:docPr id="102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312" w:lineRule="auto"/>
        <w:jc w:val="center"/>
        <w:rPr>
          <w:sz w:val="24"/>
          <w:szCs w:val="24"/>
        </w:rPr>
      </w:pPr>
    </w:p>
    <w:p>
      <w:pPr>
        <w:spacing w:line="312" w:lineRule="auto"/>
        <w:ind w:firstLine="480" w:firstLineChars="200"/>
        <w:rPr>
          <w:sz w:val="24"/>
          <w:szCs w:val="24"/>
        </w:rPr>
      </w:pPr>
      <w:r>
        <w:rPr>
          <w:rFonts w:hint="eastAsia"/>
          <w:sz w:val="24"/>
          <w:szCs w:val="24"/>
        </w:rPr>
        <w:t>图</w:t>
      </w:r>
      <w:r>
        <w:rPr>
          <w:sz w:val="24"/>
          <w:szCs w:val="24"/>
        </w:rPr>
        <w:t xml:space="preserve"> 1</w:t>
      </w:r>
      <w:r>
        <w:rPr>
          <w:rFonts w:hint="eastAsia"/>
          <w:sz w:val="24"/>
          <w:szCs w:val="24"/>
        </w:rPr>
        <w:t>6</w:t>
      </w:r>
      <w:r>
        <w:rPr>
          <w:sz w:val="24"/>
          <w:szCs w:val="24"/>
        </w:rPr>
        <w:t>-1电子信息工程技术专业必修课在五大学习领域学分值分布图</w:t>
      </w:r>
    </w:p>
    <w:p>
      <w:pPr>
        <w:spacing w:line="312" w:lineRule="auto"/>
        <w:ind w:firstLine="482" w:firstLineChars="200"/>
        <w:rPr>
          <w:b/>
          <w:bCs/>
          <w:sz w:val="24"/>
          <w:szCs w:val="24"/>
        </w:rPr>
      </w:pPr>
      <w:r>
        <w:rPr>
          <w:rFonts w:hint="eastAsia"/>
          <w:b/>
          <w:bCs/>
          <w:sz w:val="24"/>
          <w:szCs w:val="24"/>
          <w:lang w:val="en-US"/>
        </w:rPr>
        <w:t xml:space="preserve">16.4.3 </w:t>
      </w:r>
      <w:r>
        <w:rPr>
          <w:rFonts w:hint="eastAsia"/>
          <w:b/>
          <w:bCs/>
          <w:sz w:val="24"/>
          <w:szCs w:val="24"/>
        </w:rPr>
        <w:t>选修（项）课修读及学分分布</w:t>
      </w:r>
    </w:p>
    <w:p>
      <w:pPr>
        <w:spacing w:line="312" w:lineRule="auto"/>
        <w:ind w:firstLine="482" w:firstLineChars="200"/>
        <w:rPr>
          <w:b/>
          <w:bCs/>
          <w:sz w:val="24"/>
          <w:szCs w:val="24"/>
        </w:rPr>
      </w:pPr>
      <w:r>
        <w:rPr>
          <w:rFonts w:hint="eastAsia"/>
          <w:b/>
          <w:bCs/>
          <w:sz w:val="24"/>
          <w:szCs w:val="24"/>
          <w:lang w:val="en-US"/>
        </w:rPr>
        <w:t xml:space="preserve">16.4.3.1 </w:t>
      </w:r>
      <w:r>
        <w:rPr>
          <w:b/>
          <w:bCs/>
          <w:sz w:val="24"/>
          <w:szCs w:val="24"/>
        </w:rPr>
        <w:t>公共选修（分类任选）</w:t>
      </w:r>
    </w:p>
    <w:p>
      <w:pPr>
        <w:spacing w:line="312" w:lineRule="auto"/>
        <w:jc w:val="center"/>
        <w:rPr>
          <w:sz w:val="24"/>
          <w:szCs w:val="24"/>
        </w:rPr>
      </w:pPr>
      <w:r>
        <w:rPr>
          <w:sz w:val="24"/>
          <w:szCs w:val="24"/>
        </w:rPr>
        <w:t>公共选修（分类任选）课程占 10 学分，如表 1</w:t>
      </w:r>
      <w:r>
        <w:rPr>
          <w:rFonts w:hint="eastAsia"/>
          <w:sz w:val="24"/>
          <w:szCs w:val="24"/>
        </w:rPr>
        <w:t>6</w:t>
      </w:r>
      <w:r>
        <w:rPr>
          <w:sz w:val="24"/>
          <w:szCs w:val="24"/>
        </w:rPr>
        <w:t>-5 所示：</w:t>
      </w:r>
    </w:p>
    <w:tbl>
      <w:tblPr>
        <w:tblStyle w:val="7"/>
        <w:tblW w:w="0" w:type="auto"/>
        <w:tblInd w:w="2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34"/>
        <w:gridCol w:w="2658"/>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634" w:type="dxa"/>
          </w:tcPr>
          <w:p>
            <w:pPr>
              <w:spacing w:line="312" w:lineRule="auto"/>
              <w:jc w:val="center"/>
              <w:rPr>
                <w:b/>
                <w:bCs/>
                <w:sz w:val="21"/>
                <w:szCs w:val="21"/>
              </w:rPr>
            </w:pPr>
            <w:r>
              <w:rPr>
                <w:b/>
                <w:bCs/>
                <w:sz w:val="21"/>
                <w:szCs w:val="21"/>
              </w:rPr>
              <w:t>公共选修（分类任选）课程类别</w:t>
            </w:r>
          </w:p>
        </w:tc>
        <w:tc>
          <w:tcPr>
            <w:tcW w:w="2658" w:type="dxa"/>
          </w:tcPr>
          <w:p>
            <w:pPr>
              <w:spacing w:line="312" w:lineRule="auto"/>
              <w:jc w:val="center"/>
              <w:rPr>
                <w:b/>
                <w:bCs/>
                <w:sz w:val="21"/>
                <w:szCs w:val="21"/>
              </w:rPr>
            </w:pPr>
            <w:r>
              <w:rPr>
                <w:b/>
                <w:bCs/>
                <w:sz w:val="21"/>
                <w:szCs w:val="21"/>
              </w:rPr>
              <w:t>开设学期</w:t>
            </w:r>
          </w:p>
        </w:tc>
        <w:tc>
          <w:tcPr>
            <w:tcW w:w="988" w:type="dxa"/>
          </w:tcPr>
          <w:p>
            <w:pPr>
              <w:spacing w:line="312" w:lineRule="auto"/>
              <w:jc w:val="center"/>
              <w:rPr>
                <w:b/>
                <w:bCs/>
                <w:sz w:val="21"/>
                <w:szCs w:val="21"/>
              </w:rPr>
            </w:pPr>
            <w:r>
              <w:rPr>
                <w:b/>
                <w:bCs/>
                <w:sz w:val="21"/>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634" w:type="dxa"/>
            <w:vAlign w:val="center"/>
          </w:tcPr>
          <w:p>
            <w:pPr>
              <w:spacing w:line="312" w:lineRule="auto"/>
              <w:rPr>
                <w:sz w:val="21"/>
                <w:szCs w:val="21"/>
              </w:rPr>
            </w:pPr>
            <w:r>
              <w:rPr>
                <w:sz w:val="21"/>
                <w:szCs w:val="21"/>
              </w:rPr>
              <w:t>社科人文（</w:t>
            </w:r>
            <w:r>
              <w:rPr>
                <w:rFonts w:hint="eastAsia"/>
                <w:sz w:val="21"/>
                <w:szCs w:val="21"/>
              </w:rPr>
              <w:t>含</w:t>
            </w:r>
            <w:r>
              <w:rPr>
                <w:sz w:val="21"/>
                <w:szCs w:val="21"/>
              </w:rPr>
              <w:t>国学、艺术）类</w:t>
            </w:r>
          </w:p>
        </w:tc>
        <w:tc>
          <w:tcPr>
            <w:tcW w:w="2658" w:type="dxa"/>
            <w:vMerge w:val="restart"/>
          </w:tcPr>
          <w:p>
            <w:pPr>
              <w:spacing w:line="312" w:lineRule="auto"/>
              <w:rPr>
                <w:sz w:val="21"/>
                <w:szCs w:val="21"/>
                <w:lang w:val="en-US"/>
              </w:rPr>
            </w:pPr>
            <w:r>
              <w:rPr>
                <w:sz w:val="21"/>
                <w:szCs w:val="21"/>
              </w:rPr>
              <w:t>第一至五学期，分类别选修2</w:t>
            </w:r>
            <w:r>
              <w:rPr>
                <w:rFonts w:hint="eastAsia"/>
                <w:sz w:val="21"/>
                <w:szCs w:val="21"/>
                <w:lang w:val="en-US"/>
              </w:rPr>
              <w:t>-4</w:t>
            </w:r>
            <w:r>
              <w:rPr>
                <w:sz w:val="21"/>
                <w:szCs w:val="21"/>
              </w:rPr>
              <w:t>学分</w:t>
            </w:r>
            <w:r>
              <w:rPr>
                <w:rFonts w:hint="eastAsia"/>
                <w:sz w:val="21"/>
                <w:szCs w:val="21"/>
              </w:rPr>
              <w:t>，其中</w:t>
            </w:r>
            <w:r>
              <w:rPr>
                <w:rFonts w:hint="eastAsia"/>
                <w:b/>
                <w:bCs/>
                <w:sz w:val="21"/>
                <w:szCs w:val="21"/>
              </w:rPr>
              <w:t>公益创业类、外语选修类为指定选项</w:t>
            </w:r>
            <w:r>
              <w:rPr>
                <w:rFonts w:hint="eastAsia"/>
                <w:sz w:val="21"/>
                <w:szCs w:val="21"/>
              </w:rPr>
              <w:t>；学生获得</w:t>
            </w:r>
            <w:r>
              <w:rPr>
                <w:rFonts w:hint="eastAsia"/>
                <w:sz w:val="21"/>
                <w:szCs w:val="21"/>
                <w:lang w:val="en-US"/>
              </w:rPr>
              <w:t>1+X证书经认定可替换《通用技能与语言类》学分</w:t>
            </w:r>
          </w:p>
        </w:tc>
        <w:tc>
          <w:tcPr>
            <w:tcW w:w="988" w:type="dxa"/>
          </w:tcPr>
          <w:p>
            <w:pPr>
              <w:spacing w:line="312" w:lineRule="auto"/>
              <w:jc w:val="center"/>
              <w:rPr>
                <w:sz w:val="21"/>
                <w:szCs w:val="21"/>
              </w:rPr>
            </w:pPr>
            <w:r>
              <w:rPr>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634" w:type="dxa"/>
            <w:vAlign w:val="center"/>
          </w:tcPr>
          <w:p>
            <w:pPr>
              <w:spacing w:line="312" w:lineRule="auto"/>
              <w:rPr>
                <w:sz w:val="21"/>
                <w:szCs w:val="21"/>
              </w:rPr>
            </w:pPr>
            <w:r>
              <w:rPr>
                <w:sz w:val="21"/>
                <w:szCs w:val="21"/>
              </w:rPr>
              <w:t>科技</w:t>
            </w:r>
            <w:r>
              <w:rPr>
                <w:rFonts w:hint="eastAsia"/>
                <w:sz w:val="21"/>
                <w:szCs w:val="21"/>
              </w:rPr>
              <w:t>与创新（含生态文明）</w:t>
            </w:r>
            <w:r>
              <w:rPr>
                <w:sz w:val="21"/>
                <w:szCs w:val="21"/>
              </w:rPr>
              <w:t>类</w:t>
            </w:r>
          </w:p>
        </w:tc>
        <w:tc>
          <w:tcPr>
            <w:tcW w:w="2658" w:type="dxa"/>
            <w:vMerge w:val="continue"/>
          </w:tcPr>
          <w:p>
            <w:pPr>
              <w:spacing w:line="312" w:lineRule="auto"/>
              <w:rPr>
                <w:sz w:val="21"/>
                <w:szCs w:val="21"/>
              </w:rPr>
            </w:pPr>
          </w:p>
        </w:tc>
        <w:tc>
          <w:tcPr>
            <w:tcW w:w="988" w:type="dxa"/>
          </w:tcPr>
          <w:p>
            <w:pPr>
              <w:spacing w:line="312" w:lineRule="auto"/>
              <w:jc w:val="center"/>
              <w:rPr>
                <w:sz w:val="21"/>
                <w:szCs w:val="21"/>
              </w:rPr>
            </w:pPr>
            <w:r>
              <w:rPr>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634" w:type="dxa"/>
            <w:vAlign w:val="center"/>
          </w:tcPr>
          <w:p>
            <w:pPr>
              <w:spacing w:line="312" w:lineRule="auto"/>
              <w:rPr>
                <w:sz w:val="21"/>
                <w:szCs w:val="21"/>
              </w:rPr>
            </w:pPr>
            <w:r>
              <w:rPr>
                <w:sz w:val="21"/>
                <w:szCs w:val="21"/>
              </w:rPr>
              <w:t>创业</w:t>
            </w:r>
            <w:r>
              <w:rPr>
                <w:rFonts w:hint="eastAsia"/>
                <w:sz w:val="21"/>
                <w:szCs w:val="21"/>
              </w:rPr>
              <w:t>与经管</w:t>
            </w:r>
            <w:r>
              <w:rPr>
                <w:sz w:val="21"/>
                <w:szCs w:val="21"/>
              </w:rPr>
              <w:t>类（含公益创业）</w:t>
            </w:r>
            <w:r>
              <w:rPr>
                <w:rFonts w:hint="eastAsia"/>
                <w:sz w:val="21"/>
                <w:szCs w:val="21"/>
              </w:rPr>
              <w:t>类</w:t>
            </w:r>
          </w:p>
        </w:tc>
        <w:tc>
          <w:tcPr>
            <w:tcW w:w="2658" w:type="dxa"/>
            <w:vMerge w:val="continue"/>
          </w:tcPr>
          <w:p>
            <w:pPr>
              <w:spacing w:line="312" w:lineRule="auto"/>
              <w:rPr>
                <w:sz w:val="21"/>
                <w:szCs w:val="21"/>
              </w:rPr>
            </w:pPr>
          </w:p>
        </w:tc>
        <w:tc>
          <w:tcPr>
            <w:tcW w:w="988" w:type="dxa"/>
          </w:tcPr>
          <w:p>
            <w:pPr>
              <w:spacing w:line="312" w:lineRule="auto"/>
              <w:jc w:val="center"/>
              <w:rPr>
                <w:sz w:val="21"/>
                <w:szCs w:val="21"/>
              </w:rPr>
            </w:pPr>
            <w:r>
              <w:rPr>
                <w:sz w:val="21"/>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634" w:type="dxa"/>
            <w:vAlign w:val="center"/>
          </w:tcPr>
          <w:p>
            <w:pPr>
              <w:spacing w:line="312" w:lineRule="auto"/>
              <w:rPr>
                <w:sz w:val="21"/>
                <w:szCs w:val="21"/>
              </w:rPr>
            </w:pPr>
            <w:r>
              <w:rPr>
                <w:sz w:val="21"/>
                <w:szCs w:val="21"/>
              </w:rPr>
              <w:t>通用技能与语言类（含</w:t>
            </w:r>
            <w:r>
              <w:rPr>
                <w:rFonts w:hint="eastAsia"/>
                <w:sz w:val="21"/>
                <w:szCs w:val="21"/>
              </w:rPr>
              <w:t>外语选修</w:t>
            </w:r>
            <w:r>
              <w:rPr>
                <w:rFonts w:hint="eastAsia"/>
                <w:sz w:val="21"/>
                <w:szCs w:val="21"/>
                <w:lang w:val="en-US"/>
              </w:rPr>
              <w:t>2学分</w:t>
            </w:r>
            <w:r>
              <w:rPr>
                <w:sz w:val="21"/>
                <w:szCs w:val="21"/>
              </w:rPr>
              <w:t>）</w:t>
            </w:r>
          </w:p>
        </w:tc>
        <w:tc>
          <w:tcPr>
            <w:tcW w:w="2658" w:type="dxa"/>
            <w:vMerge w:val="continue"/>
          </w:tcPr>
          <w:p>
            <w:pPr>
              <w:spacing w:line="312" w:lineRule="auto"/>
              <w:rPr>
                <w:sz w:val="21"/>
                <w:szCs w:val="21"/>
              </w:rPr>
            </w:pPr>
          </w:p>
        </w:tc>
        <w:tc>
          <w:tcPr>
            <w:tcW w:w="988" w:type="dxa"/>
          </w:tcPr>
          <w:p>
            <w:pPr>
              <w:spacing w:line="312" w:lineRule="auto"/>
              <w:jc w:val="center"/>
              <w:rPr>
                <w:sz w:val="21"/>
                <w:szCs w:val="21"/>
                <w:lang w:val="en-US"/>
              </w:rPr>
            </w:pPr>
            <w:r>
              <w:rPr>
                <w:rFonts w:hint="eastAsia"/>
                <w:sz w:val="21"/>
                <w:szCs w:val="21"/>
                <w:lang w:val="en-US"/>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292" w:type="dxa"/>
            <w:gridSpan w:val="2"/>
          </w:tcPr>
          <w:p>
            <w:pPr>
              <w:spacing w:line="312" w:lineRule="auto"/>
              <w:jc w:val="center"/>
              <w:rPr>
                <w:sz w:val="21"/>
                <w:szCs w:val="21"/>
              </w:rPr>
            </w:pPr>
            <w:r>
              <w:rPr>
                <w:sz w:val="21"/>
                <w:szCs w:val="21"/>
              </w:rPr>
              <w:t>公共选修（分类任选）课程最少需要修读的学分</w:t>
            </w:r>
          </w:p>
        </w:tc>
        <w:tc>
          <w:tcPr>
            <w:tcW w:w="988" w:type="dxa"/>
          </w:tcPr>
          <w:p>
            <w:pPr>
              <w:spacing w:line="312" w:lineRule="auto"/>
              <w:jc w:val="center"/>
              <w:rPr>
                <w:sz w:val="21"/>
                <w:szCs w:val="21"/>
              </w:rPr>
            </w:pPr>
            <w:r>
              <w:rPr>
                <w:sz w:val="21"/>
                <w:szCs w:val="21"/>
              </w:rPr>
              <w:t>10</w:t>
            </w:r>
          </w:p>
        </w:tc>
      </w:tr>
    </w:tbl>
    <w:p>
      <w:pPr>
        <w:spacing w:line="312" w:lineRule="auto"/>
        <w:ind w:firstLine="482" w:firstLineChars="200"/>
        <w:rPr>
          <w:b/>
          <w:bCs/>
          <w:sz w:val="24"/>
          <w:szCs w:val="24"/>
        </w:rPr>
      </w:pPr>
      <w:r>
        <w:rPr>
          <w:rFonts w:hint="eastAsia"/>
          <w:b/>
          <w:bCs/>
          <w:sz w:val="24"/>
          <w:szCs w:val="24"/>
          <w:lang w:val="en-US"/>
        </w:rPr>
        <w:t xml:space="preserve">16.4.3.2 </w:t>
      </w:r>
      <w:r>
        <w:rPr>
          <w:b/>
          <w:bCs/>
          <w:sz w:val="24"/>
          <w:szCs w:val="24"/>
        </w:rPr>
        <w:t>公共选修（分类选项）</w:t>
      </w:r>
    </w:p>
    <w:p>
      <w:pPr>
        <w:spacing w:line="312" w:lineRule="auto"/>
        <w:ind w:firstLine="480" w:firstLineChars="200"/>
        <w:rPr>
          <w:sz w:val="24"/>
          <w:szCs w:val="24"/>
        </w:rPr>
      </w:pPr>
      <w:r>
        <w:rPr>
          <w:sz w:val="24"/>
          <w:szCs w:val="24"/>
        </w:rPr>
        <w:t>公共选修（分类选项）课程占4学分，如表1</w:t>
      </w:r>
      <w:r>
        <w:rPr>
          <w:rFonts w:hint="eastAsia"/>
          <w:sz w:val="24"/>
          <w:szCs w:val="24"/>
        </w:rPr>
        <w:t>6</w:t>
      </w:r>
      <w:r>
        <w:rPr>
          <w:sz w:val="24"/>
          <w:szCs w:val="24"/>
        </w:rPr>
        <w:t>-6所示。</w:t>
      </w:r>
    </w:p>
    <w:p>
      <w:pPr>
        <w:spacing w:line="312" w:lineRule="auto"/>
        <w:jc w:val="center"/>
        <w:rPr>
          <w:sz w:val="24"/>
          <w:szCs w:val="24"/>
        </w:rPr>
      </w:pPr>
      <w:r>
        <w:rPr>
          <w:sz w:val="24"/>
          <w:szCs w:val="24"/>
        </w:rPr>
        <w:t>表 1</w:t>
      </w:r>
      <w:r>
        <w:rPr>
          <w:rFonts w:hint="eastAsia"/>
          <w:sz w:val="24"/>
          <w:szCs w:val="24"/>
        </w:rPr>
        <w:t>6</w:t>
      </w:r>
      <w:r>
        <w:rPr>
          <w:sz w:val="24"/>
          <w:szCs w:val="24"/>
        </w:rPr>
        <w:t>-6 公共选项课程的学分值</w:t>
      </w:r>
    </w:p>
    <w:tbl>
      <w:tblPr>
        <w:tblStyle w:val="7"/>
        <w:tblW w:w="8285" w:type="dxa"/>
        <w:tblInd w:w="2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1"/>
        <w:gridCol w:w="2661"/>
        <w:gridCol w:w="9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trPr>
        <w:tc>
          <w:tcPr>
            <w:tcW w:w="4651" w:type="dxa"/>
          </w:tcPr>
          <w:p>
            <w:pPr>
              <w:spacing w:line="312" w:lineRule="auto"/>
              <w:jc w:val="center"/>
              <w:rPr>
                <w:b/>
                <w:bCs/>
                <w:szCs w:val="21"/>
              </w:rPr>
            </w:pPr>
            <w:r>
              <w:rPr>
                <w:b/>
                <w:bCs/>
                <w:szCs w:val="21"/>
              </w:rPr>
              <w:t>公共选修（分类选项）课程类型</w:t>
            </w:r>
          </w:p>
        </w:tc>
        <w:tc>
          <w:tcPr>
            <w:tcW w:w="2661" w:type="dxa"/>
          </w:tcPr>
          <w:p>
            <w:pPr>
              <w:spacing w:line="312" w:lineRule="auto"/>
              <w:jc w:val="center"/>
              <w:rPr>
                <w:b/>
                <w:bCs/>
                <w:szCs w:val="21"/>
              </w:rPr>
            </w:pPr>
            <w:r>
              <w:rPr>
                <w:b/>
                <w:bCs/>
                <w:szCs w:val="21"/>
              </w:rPr>
              <w:t>开设学期说明</w:t>
            </w:r>
          </w:p>
        </w:tc>
        <w:tc>
          <w:tcPr>
            <w:tcW w:w="973" w:type="dxa"/>
          </w:tcPr>
          <w:p>
            <w:pPr>
              <w:spacing w:line="312" w:lineRule="auto"/>
              <w:jc w:val="center"/>
              <w:rPr>
                <w:szCs w:val="21"/>
              </w:rPr>
            </w:pPr>
            <w:r>
              <w:rPr>
                <w:b/>
                <w:bCs/>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4651" w:type="dxa"/>
            <w:vAlign w:val="center"/>
          </w:tcPr>
          <w:p>
            <w:pPr>
              <w:widowControl/>
              <w:spacing w:line="312" w:lineRule="auto"/>
              <w:textAlignment w:val="center"/>
              <w:rPr>
                <w:szCs w:val="21"/>
              </w:rPr>
            </w:pPr>
            <w:r>
              <w:rPr>
                <w:rFonts w:hint="eastAsia" w:ascii="等线" w:hAnsi="等线" w:eastAsia="等线" w:cs="等线"/>
                <w:color w:val="000000"/>
                <w:highlight w:val="red"/>
                <w:lang w:val="en-US" w:bidi="ar"/>
              </w:rPr>
              <w:t>文化活动（含文化建设、素质拓展、社团活动</w:t>
            </w:r>
            <w:r>
              <w:rPr>
                <w:rFonts w:hint="eastAsia" w:ascii="等线" w:hAnsi="等线" w:eastAsia="等线" w:cs="等线"/>
                <w:color w:val="000000"/>
                <w:lang w:val="en-US" w:bidi="ar"/>
              </w:rPr>
              <w:t>）</w:t>
            </w:r>
          </w:p>
        </w:tc>
        <w:tc>
          <w:tcPr>
            <w:tcW w:w="2661" w:type="dxa"/>
            <w:vMerge w:val="restart"/>
          </w:tcPr>
          <w:p>
            <w:pPr>
              <w:spacing w:line="312" w:lineRule="auto"/>
              <w:rPr>
                <w:szCs w:val="21"/>
              </w:rPr>
            </w:pPr>
            <w:r>
              <w:rPr>
                <w:szCs w:val="21"/>
              </w:rPr>
              <w:t>第一至五学期，每类至少选修1学分，多选学分不能替换其它学分</w:t>
            </w:r>
            <w:r>
              <w:rPr>
                <w:rFonts w:hint="eastAsia"/>
                <w:szCs w:val="21"/>
              </w:rPr>
              <w:t>。</w:t>
            </w:r>
            <w:r>
              <w:rPr>
                <w:rFonts w:hint="eastAsia"/>
                <w:b/>
                <w:bCs/>
                <w:szCs w:val="21"/>
              </w:rPr>
              <w:t>劳动教育为新增加类型</w:t>
            </w:r>
            <w:r>
              <w:rPr>
                <w:rFonts w:hint="eastAsia"/>
                <w:szCs w:val="21"/>
              </w:rPr>
              <w:t>，制定相应成果认定办法执行</w:t>
            </w:r>
          </w:p>
        </w:tc>
        <w:tc>
          <w:tcPr>
            <w:tcW w:w="973" w:type="dxa"/>
            <w:vAlign w:val="center"/>
          </w:tcPr>
          <w:p>
            <w:pPr>
              <w:spacing w:line="312" w:lineRule="auto"/>
              <w:jc w:val="center"/>
              <w:rPr>
                <w:szCs w:val="21"/>
              </w:rPr>
            </w:pPr>
            <w:r>
              <w:rPr>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4651" w:type="dxa"/>
            <w:vAlign w:val="center"/>
          </w:tcPr>
          <w:p>
            <w:pPr>
              <w:widowControl/>
              <w:spacing w:line="312" w:lineRule="auto"/>
              <w:textAlignment w:val="center"/>
              <w:rPr>
                <w:szCs w:val="21"/>
              </w:rPr>
            </w:pPr>
            <w:r>
              <w:rPr>
                <w:rFonts w:hint="eastAsia" w:ascii="等线" w:hAnsi="等线" w:eastAsia="等线" w:cs="等线"/>
                <w:color w:val="000000"/>
                <w:lang w:val="en-US" w:bidi="ar"/>
              </w:rPr>
              <w:t>科创活动（含金点子大赛等）</w:t>
            </w:r>
          </w:p>
        </w:tc>
        <w:tc>
          <w:tcPr>
            <w:tcW w:w="2661" w:type="dxa"/>
            <w:vMerge w:val="continue"/>
          </w:tcPr>
          <w:p>
            <w:pPr>
              <w:spacing w:line="312" w:lineRule="auto"/>
              <w:rPr>
                <w:szCs w:val="21"/>
              </w:rPr>
            </w:pPr>
          </w:p>
        </w:tc>
        <w:tc>
          <w:tcPr>
            <w:tcW w:w="973" w:type="dxa"/>
            <w:vAlign w:val="center"/>
          </w:tcPr>
          <w:p>
            <w:pPr>
              <w:spacing w:line="312" w:lineRule="auto"/>
              <w:jc w:val="center"/>
              <w:rPr>
                <w:szCs w:val="21"/>
              </w:rPr>
            </w:pPr>
            <w:r>
              <w:rPr>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4651" w:type="dxa"/>
            <w:vAlign w:val="center"/>
          </w:tcPr>
          <w:p>
            <w:pPr>
              <w:widowControl/>
              <w:spacing w:line="312" w:lineRule="auto"/>
              <w:textAlignment w:val="center"/>
              <w:rPr>
                <w:szCs w:val="21"/>
              </w:rPr>
            </w:pPr>
            <w:r>
              <w:rPr>
                <w:rFonts w:hint="eastAsia" w:ascii="等线" w:hAnsi="等线" w:eastAsia="等线" w:cs="等线"/>
                <w:color w:val="000000"/>
                <w:lang w:val="en-US" w:bidi="ar"/>
              </w:rPr>
              <w:t>服务学习（含志愿者服务等）</w:t>
            </w:r>
          </w:p>
        </w:tc>
        <w:tc>
          <w:tcPr>
            <w:tcW w:w="2661" w:type="dxa"/>
            <w:vMerge w:val="continue"/>
          </w:tcPr>
          <w:p>
            <w:pPr>
              <w:spacing w:line="312" w:lineRule="auto"/>
              <w:rPr>
                <w:szCs w:val="21"/>
              </w:rPr>
            </w:pPr>
          </w:p>
        </w:tc>
        <w:tc>
          <w:tcPr>
            <w:tcW w:w="973" w:type="dxa"/>
            <w:vAlign w:val="center"/>
          </w:tcPr>
          <w:p>
            <w:pPr>
              <w:spacing w:line="312" w:lineRule="auto"/>
              <w:jc w:val="center"/>
              <w:rPr>
                <w:szCs w:val="21"/>
              </w:rPr>
            </w:pPr>
            <w:r>
              <w:rPr>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4651" w:type="dxa"/>
            <w:vAlign w:val="center"/>
          </w:tcPr>
          <w:p>
            <w:pPr>
              <w:widowControl/>
              <w:spacing w:line="312" w:lineRule="auto"/>
              <w:textAlignment w:val="center"/>
              <w:rPr>
                <w:szCs w:val="21"/>
              </w:rPr>
            </w:pPr>
            <w:r>
              <w:rPr>
                <w:rFonts w:hint="eastAsia" w:ascii="等线" w:hAnsi="等线" w:eastAsia="等线" w:cs="等线"/>
                <w:color w:val="000000"/>
                <w:lang w:val="en-US" w:bidi="ar"/>
              </w:rPr>
              <w:t>劳动教育活动</w:t>
            </w:r>
          </w:p>
        </w:tc>
        <w:tc>
          <w:tcPr>
            <w:tcW w:w="2661" w:type="dxa"/>
            <w:vMerge w:val="continue"/>
          </w:tcPr>
          <w:p>
            <w:pPr>
              <w:spacing w:line="312" w:lineRule="auto"/>
              <w:rPr>
                <w:szCs w:val="21"/>
              </w:rPr>
            </w:pPr>
          </w:p>
        </w:tc>
        <w:tc>
          <w:tcPr>
            <w:tcW w:w="973" w:type="dxa"/>
            <w:vAlign w:val="center"/>
          </w:tcPr>
          <w:p>
            <w:pPr>
              <w:spacing w:line="312" w:lineRule="auto"/>
              <w:jc w:val="center"/>
              <w:rPr>
                <w:szCs w:val="21"/>
              </w:rPr>
            </w:pPr>
            <w:r>
              <w:rPr>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7312" w:type="dxa"/>
            <w:gridSpan w:val="2"/>
          </w:tcPr>
          <w:p>
            <w:pPr>
              <w:spacing w:line="312" w:lineRule="auto"/>
              <w:rPr>
                <w:szCs w:val="21"/>
                <w:highlight w:val="red"/>
              </w:rPr>
            </w:pPr>
            <w:r>
              <w:rPr>
                <w:szCs w:val="21"/>
                <w:highlight w:val="red"/>
              </w:rPr>
              <w:t>按照《分类选项课学习成果考核暂行办法》依据学习成果</w:t>
            </w:r>
            <w:r>
              <w:rPr>
                <w:rFonts w:hint="eastAsia"/>
                <w:szCs w:val="21"/>
                <w:highlight w:val="red"/>
              </w:rPr>
              <w:t>认定，</w:t>
            </w:r>
            <w:r>
              <w:rPr>
                <w:szCs w:val="21"/>
                <w:highlight w:val="red"/>
              </w:rPr>
              <w:t>至少</w:t>
            </w:r>
            <w:r>
              <w:rPr>
                <w:rFonts w:hint="eastAsia"/>
                <w:szCs w:val="21"/>
                <w:highlight w:val="red"/>
                <w:lang w:val="en-US"/>
              </w:rPr>
              <w:t>4</w:t>
            </w:r>
            <w:r>
              <w:rPr>
                <w:szCs w:val="21"/>
                <w:highlight w:val="red"/>
              </w:rPr>
              <w:t>学分</w:t>
            </w:r>
          </w:p>
        </w:tc>
        <w:tc>
          <w:tcPr>
            <w:tcW w:w="973" w:type="dxa"/>
            <w:vAlign w:val="center"/>
          </w:tcPr>
          <w:p>
            <w:pPr>
              <w:spacing w:line="312" w:lineRule="auto"/>
              <w:jc w:val="center"/>
              <w:rPr>
                <w:rFonts w:eastAsiaTheme="minorEastAsia"/>
                <w:szCs w:val="21"/>
                <w:highlight w:val="red"/>
              </w:rPr>
            </w:pPr>
            <w:r>
              <w:rPr>
                <w:rFonts w:hint="eastAsia"/>
                <w:szCs w:val="21"/>
                <w:highlight w:val="red"/>
                <w:lang w:val="en-US"/>
              </w:rPr>
              <w:t>4</w:t>
            </w:r>
          </w:p>
        </w:tc>
      </w:tr>
    </w:tbl>
    <w:p>
      <w:pPr>
        <w:spacing w:line="312" w:lineRule="auto"/>
        <w:ind w:firstLine="480" w:firstLineChars="200"/>
        <w:rPr>
          <w:sz w:val="24"/>
          <w:szCs w:val="24"/>
        </w:rPr>
      </w:pPr>
    </w:p>
    <w:p>
      <w:pPr>
        <w:spacing w:line="312" w:lineRule="auto"/>
        <w:ind w:firstLine="482" w:firstLineChars="200"/>
        <w:rPr>
          <w:b/>
          <w:bCs/>
          <w:sz w:val="24"/>
          <w:szCs w:val="24"/>
        </w:rPr>
      </w:pPr>
      <w:r>
        <w:rPr>
          <w:rFonts w:hint="eastAsia"/>
          <w:b/>
          <w:bCs/>
          <w:sz w:val="24"/>
          <w:szCs w:val="24"/>
          <w:lang w:val="en-US"/>
        </w:rPr>
        <w:t xml:space="preserve">16.4.3.3 </w:t>
      </w:r>
      <w:r>
        <w:rPr>
          <w:b/>
          <w:bCs/>
          <w:sz w:val="24"/>
          <w:szCs w:val="24"/>
        </w:rPr>
        <w:t>专业选修（分类限选）课程</w:t>
      </w:r>
    </w:p>
    <w:p>
      <w:pPr>
        <w:spacing w:line="312" w:lineRule="auto"/>
        <w:ind w:firstLine="480" w:firstLineChars="200"/>
        <w:rPr>
          <w:sz w:val="24"/>
          <w:szCs w:val="24"/>
        </w:rPr>
      </w:pPr>
      <w:r>
        <w:rPr>
          <w:sz w:val="24"/>
          <w:szCs w:val="24"/>
        </w:rPr>
        <w:t>专业选修（分类限选）是在本专业职业方向选修、本二级学院内跨专业选修、创业训练选修、升学留学选修（含小语种）四类中选择一类，然后在选择的类别中选修课程，至少选修10学分，如表1</w:t>
      </w:r>
      <w:r>
        <w:rPr>
          <w:rFonts w:hint="eastAsia"/>
          <w:sz w:val="24"/>
          <w:szCs w:val="24"/>
        </w:rPr>
        <w:t>6</w:t>
      </w:r>
      <w:r>
        <w:rPr>
          <w:sz w:val="24"/>
          <w:szCs w:val="24"/>
        </w:rPr>
        <w:t xml:space="preserve">-7所示： </w:t>
      </w:r>
    </w:p>
    <w:p>
      <w:pPr>
        <w:spacing w:line="312" w:lineRule="auto"/>
        <w:jc w:val="center"/>
        <w:rPr>
          <w:sz w:val="24"/>
          <w:szCs w:val="24"/>
        </w:rPr>
      </w:pPr>
    </w:p>
    <w:p>
      <w:pPr>
        <w:spacing w:line="312" w:lineRule="auto"/>
        <w:jc w:val="center"/>
        <w:rPr>
          <w:sz w:val="24"/>
          <w:szCs w:val="24"/>
        </w:rPr>
      </w:pPr>
      <w:r>
        <w:rPr>
          <w:sz w:val="24"/>
          <w:szCs w:val="24"/>
        </w:rPr>
        <w:t>表 1</w:t>
      </w:r>
      <w:r>
        <w:rPr>
          <w:rFonts w:hint="eastAsia"/>
          <w:sz w:val="24"/>
          <w:szCs w:val="24"/>
        </w:rPr>
        <w:t>6</w:t>
      </w:r>
      <w:r>
        <w:rPr>
          <w:sz w:val="24"/>
          <w:szCs w:val="24"/>
        </w:rPr>
        <w:t>-7 专业选修（分类限选）课程的学分值</w:t>
      </w:r>
    </w:p>
    <w:tbl>
      <w:tblPr>
        <w:tblStyle w:val="7"/>
        <w:tblW w:w="0" w:type="auto"/>
        <w:tblInd w:w="4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7"/>
        <w:gridCol w:w="1026"/>
        <w:gridCol w:w="1292"/>
        <w:gridCol w:w="2238"/>
        <w:gridCol w:w="1245"/>
        <w:gridCol w:w="8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217" w:type="dxa"/>
          </w:tcPr>
          <w:p>
            <w:pPr>
              <w:jc w:val="center"/>
              <w:rPr>
                <w:b/>
                <w:bCs/>
                <w:sz w:val="21"/>
                <w:szCs w:val="21"/>
              </w:rPr>
            </w:pPr>
            <w:r>
              <w:rPr>
                <w:b/>
                <w:bCs/>
                <w:sz w:val="21"/>
                <w:szCs w:val="21"/>
              </w:rPr>
              <w:t>选修类别</w:t>
            </w:r>
          </w:p>
        </w:tc>
        <w:tc>
          <w:tcPr>
            <w:tcW w:w="1026" w:type="dxa"/>
          </w:tcPr>
          <w:p>
            <w:pPr>
              <w:jc w:val="center"/>
              <w:rPr>
                <w:b/>
                <w:bCs/>
                <w:sz w:val="21"/>
                <w:szCs w:val="21"/>
              </w:rPr>
            </w:pPr>
            <w:r>
              <w:rPr>
                <w:b/>
                <w:bCs/>
                <w:sz w:val="21"/>
                <w:szCs w:val="21"/>
              </w:rPr>
              <w:t>课程编码</w:t>
            </w:r>
          </w:p>
        </w:tc>
        <w:tc>
          <w:tcPr>
            <w:tcW w:w="3530" w:type="dxa"/>
            <w:gridSpan w:val="2"/>
          </w:tcPr>
          <w:p>
            <w:pPr>
              <w:jc w:val="center"/>
              <w:rPr>
                <w:b/>
                <w:bCs/>
                <w:sz w:val="21"/>
                <w:szCs w:val="21"/>
              </w:rPr>
            </w:pPr>
            <w:r>
              <w:rPr>
                <w:b/>
                <w:bCs/>
                <w:sz w:val="21"/>
                <w:szCs w:val="21"/>
              </w:rPr>
              <w:t>专业选修（分类限选）课程名称</w:t>
            </w:r>
          </w:p>
        </w:tc>
        <w:tc>
          <w:tcPr>
            <w:tcW w:w="1245" w:type="dxa"/>
          </w:tcPr>
          <w:p>
            <w:pPr>
              <w:jc w:val="center"/>
              <w:rPr>
                <w:b/>
                <w:bCs/>
                <w:sz w:val="21"/>
                <w:szCs w:val="21"/>
              </w:rPr>
            </w:pPr>
            <w:r>
              <w:rPr>
                <w:b/>
                <w:bCs/>
                <w:sz w:val="21"/>
                <w:szCs w:val="21"/>
              </w:rPr>
              <w:t>开设学期</w:t>
            </w:r>
          </w:p>
        </w:tc>
        <w:tc>
          <w:tcPr>
            <w:tcW w:w="887" w:type="dxa"/>
          </w:tcPr>
          <w:p>
            <w:pPr>
              <w:jc w:val="center"/>
              <w:rPr>
                <w:b/>
                <w:bCs/>
                <w:sz w:val="21"/>
                <w:szCs w:val="21"/>
              </w:rPr>
            </w:pPr>
            <w:r>
              <w:rPr>
                <w:b/>
                <w:bCs/>
                <w:sz w:val="21"/>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restart"/>
          </w:tcPr>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r>
              <w:rPr>
                <w:sz w:val="21"/>
                <w:szCs w:val="21"/>
              </w:rPr>
              <w:t>职业方向选修（本专业）</w:t>
            </w:r>
          </w:p>
        </w:tc>
        <w:tc>
          <w:tcPr>
            <w:tcW w:w="1026" w:type="dxa"/>
          </w:tcPr>
          <w:p>
            <w:pPr>
              <w:rPr>
                <w:sz w:val="21"/>
                <w:szCs w:val="21"/>
              </w:rPr>
            </w:pPr>
          </w:p>
        </w:tc>
        <w:tc>
          <w:tcPr>
            <w:tcW w:w="1292" w:type="dxa"/>
            <w:vMerge w:val="restart"/>
            <w:vAlign w:val="center"/>
          </w:tcPr>
          <w:p>
            <w:pPr>
              <w:jc w:val="center"/>
              <w:rPr>
                <w:sz w:val="20"/>
                <w:szCs w:val="20"/>
              </w:rPr>
            </w:pPr>
            <w:r>
              <w:rPr>
                <w:sz w:val="20"/>
                <w:szCs w:val="20"/>
              </w:rPr>
              <w:t>限选课程包1</w:t>
            </w:r>
          </w:p>
          <w:p>
            <w:pPr>
              <w:jc w:val="center"/>
              <w:rPr>
                <w:sz w:val="21"/>
                <w:szCs w:val="21"/>
              </w:rPr>
            </w:pPr>
            <w:r>
              <w:rPr>
                <w:rFonts w:hint="eastAsia"/>
                <w:sz w:val="20"/>
                <w:szCs w:val="20"/>
              </w:rPr>
              <w:t>（EDA技术方向）</w:t>
            </w:r>
          </w:p>
        </w:tc>
        <w:tc>
          <w:tcPr>
            <w:tcW w:w="2238" w:type="dxa"/>
            <w:vAlign w:val="center"/>
          </w:tcPr>
          <w:p>
            <w:pPr>
              <w:jc w:val="center"/>
              <w:rPr>
                <w:sz w:val="20"/>
                <w:szCs w:val="20"/>
              </w:rPr>
            </w:pPr>
            <w:r>
              <w:rPr>
                <w:rFonts w:hint="eastAsia"/>
                <w:sz w:val="20"/>
                <w:szCs w:val="20"/>
              </w:rPr>
              <w:t>计算机仿真技术</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sz w:val="20"/>
                <w:szCs w:val="20"/>
              </w:rPr>
              <w:t>A</w:t>
            </w:r>
            <w:r>
              <w:rPr>
                <w:rFonts w:hint="eastAsia"/>
                <w:sz w:val="20"/>
                <w:szCs w:val="20"/>
              </w:rPr>
              <w:t>ndroid应用程序开发</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rFonts w:hint="eastAsia"/>
                <w:sz w:val="20"/>
                <w:szCs w:val="20"/>
              </w:rPr>
              <w:t>机器人专题训练</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rFonts w:hint="eastAsia"/>
                <w:sz w:val="20"/>
                <w:szCs w:val="20"/>
              </w:rPr>
              <w:t>科技文献检索与论文写作</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restart"/>
            <w:vAlign w:val="center"/>
          </w:tcPr>
          <w:p>
            <w:pPr>
              <w:jc w:val="center"/>
              <w:rPr>
                <w:sz w:val="20"/>
                <w:szCs w:val="20"/>
              </w:rPr>
            </w:pPr>
            <w:r>
              <w:rPr>
                <w:sz w:val="20"/>
                <w:szCs w:val="20"/>
              </w:rPr>
              <w:t>限选课程包2</w:t>
            </w:r>
          </w:p>
          <w:p>
            <w:pPr>
              <w:jc w:val="center"/>
              <w:rPr>
                <w:sz w:val="21"/>
                <w:szCs w:val="21"/>
              </w:rPr>
            </w:pPr>
            <w:r>
              <w:rPr>
                <w:rFonts w:hint="eastAsia"/>
                <w:sz w:val="20"/>
                <w:szCs w:val="20"/>
              </w:rPr>
              <w:t>（人工智能方向）</w:t>
            </w:r>
          </w:p>
        </w:tc>
        <w:tc>
          <w:tcPr>
            <w:tcW w:w="2238" w:type="dxa"/>
            <w:vAlign w:val="center"/>
          </w:tcPr>
          <w:p>
            <w:pPr>
              <w:jc w:val="center"/>
              <w:rPr>
                <w:sz w:val="20"/>
                <w:szCs w:val="20"/>
              </w:rPr>
            </w:pPr>
            <w:r>
              <w:rPr>
                <w:rFonts w:hint="eastAsia"/>
                <w:sz w:val="20"/>
                <w:szCs w:val="20"/>
              </w:rPr>
              <w:t>机器人学导论</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rFonts w:hint="eastAsia"/>
                <w:sz w:val="20"/>
                <w:szCs w:val="20"/>
              </w:rPr>
              <w:t>Python编程基础</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rFonts w:hint="eastAsia"/>
                <w:sz w:val="20"/>
                <w:szCs w:val="20"/>
              </w:rPr>
              <w:t>智能控制</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Borders>
              <w:top w:val="nil"/>
            </w:tcBorders>
          </w:tcPr>
          <w:p>
            <w:pPr>
              <w:rPr>
                <w:sz w:val="21"/>
                <w:szCs w:val="21"/>
              </w:rPr>
            </w:pPr>
          </w:p>
        </w:tc>
        <w:tc>
          <w:tcPr>
            <w:tcW w:w="2238" w:type="dxa"/>
            <w:vAlign w:val="center"/>
          </w:tcPr>
          <w:p>
            <w:pPr>
              <w:jc w:val="center"/>
              <w:rPr>
                <w:sz w:val="20"/>
                <w:szCs w:val="20"/>
              </w:rPr>
            </w:pPr>
            <w:r>
              <w:rPr>
                <w:rFonts w:hint="eastAsia"/>
                <w:sz w:val="20"/>
                <w:szCs w:val="20"/>
              </w:rPr>
              <w:t>机器人专题训练</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1217" w:type="dxa"/>
            <w:vMerge w:val="continue"/>
          </w:tcPr>
          <w:p>
            <w:pPr>
              <w:rPr>
                <w:sz w:val="21"/>
                <w:szCs w:val="21"/>
              </w:rPr>
            </w:pPr>
          </w:p>
        </w:tc>
        <w:tc>
          <w:tcPr>
            <w:tcW w:w="1026" w:type="dxa"/>
          </w:tcPr>
          <w:p>
            <w:pPr>
              <w:rPr>
                <w:sz w:val="21"/>
                <w:szCs w:val="21"/>
              </w:rPr>
            </w:pPr>
          </w:p>
        </w:tc>
        <w:tc>
          <w:tcPr>
            <w:tcW w:w="1292" w:type="dxa"/>
            <w:vMerge w:val="restart"/>
            <w:vAlign w:val="center"/>
          </w:tcPr>
          <w:p>
            <w:pPr>
              <w:jc w:val="center"/>
              <w:rPr>
                <w:sz w:val="20"/>
                <w:szCs w:val="20"/>
              </w:rPr>
            </w:pPr>
            <w:r>
              <w:rPr>
                <w:sz w:val="20"/>
                <w:szCs w:val="20"/>
              </w:rPr>
              <w:t>限选课程包3</w:t>
            </w:r>
          </w:p>
          <w:p>
            <w:pPr>
              <w:jc w:val="center"/>
              <w:rPr>
                <w:sz w:val="21"/>
                <w:szCs w:val="21"/>
              </w:rPr>
            </w:pPr>
            <w:r>
              <w:rPr>
                <w:rFonts w:hint="eastAsia"/>
                <w:sz w:val="20"/>
                <w:szCs w:val="20"/>
              </w:rPr>
              <w:t>（智能控制方向）</w:t>
            </w:r>
          </w:p>
        </w:tc>
        <w:tc>
          <w:tcPr>
            <w:tcW w:w="2238" w:type="dxa"/>
            <w:vAlign w:val="center"/>
          </w:tcPr>
          <w:p>
            <w:pPr>
              <w:jc w:val="center"/>
              <w:rPr>
                <w:sz w:val="20"/>
                <w:szCs w:val="20"/>
              </w:rPr>
            </w:pPr>
            <w:r>
              <w:rPr>
                <w:rFonts w:hint="eastAsia"/>
                <w:sz w:val="20"/>
                <w:szCs w:val="20"/>
              </w:rPr>
              <w:t>智能技术发展专题</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Pr>
          <w:p>
            <w:pPr>
              <w:rPr>
                <w:sz w:val="21"/>
                <w:szCs w:val="21"/>
              </w:rPr>
            </w:pPr>
          </w:p>
        </w:tc>
        <w:tc>
          <w:tcPr>
            <w:tcW w:w="2238" w:type="dxa"/>
            <w:vAlign w:val="center"/>
          </w:tcPr>
          <w:p>
            <w:pPr>
              <w:jc w:val="center"/>
              <w:rPr>
                <w:sz w:val="20"/>
                <w:szCs w:val="20"/>
              </w:rPr>
            </w:pPr>
            <w:r>
              <w:rPr>
                <w:rFonts w:hint="eastAsia"/>
                <w:sz w:val="20"/>
                <w:szCs w:val="20"/>
              </w:rPr>
              <w:t>机器人专题训练</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217" w:type="dxa"/>
            <w:vMerge w:val="continue"/>
          </w:tcPr>
          <w:p>
            <w:pPr>
              <w:rPr>
                <w:sz w:val="21"/>
                <w:szCs w:val="21"/>
              </w:rPr>
            </w:pPr>
          </w:p>
        </w:tc>
        <w:tc>
          <w:tcPr>
            <w:tcW w:w="1026" w:type="dxa"/>
          </w:tcPr>
          <w:p>
            <w:pPr>
              <w:rPr>
                <w:sz w:val="21"/>
                <w:szCs w:val="21"/>
              </w:rPr>
            </w:pPr>
          </w:p>
        </w:tc>
        <w:tc>
          <w:tcPr>
            <w:tcW w:w="1292" w:type="dxa"/>
            <w:vMerge w:val="continue"/>
          </w:tcPr>
          <w:p>
            <w:pPr>
              <w:rPr>
                <w:sz w:val="21"/>
                <w:szCs w:val="21"/>
              </w:rPr>
            </w:pPr>
          </w:p>
        </w:tc>
        <w:tc>
          <w:tcPr>
            <w:tcW w:w="2238" w:type="dxa"/>
            <w:vAlign w:val="center"/>
          </w:tcPr>
          <w:p>
            <w:pPr>
              <w:jc w:val="center"/>
              <w:rPr>
                <w:sz w:val="20"/>
                <w:szCs w:val="20"/>
              </w:rPr>
            </w:pPr>
            <w:r>
              <w:rPr>
                <w:rFonts w:hint="eastAsia"/>
                <w:sz w:val="20"/>
                <w:szCs w:val="20"/>
              </w:rPr>
              <w:t>嵌入式微处理器应用</w:t>
            </w:r>
          </w:p>
        </w:tc>
        <w:tc>
          <w:tcPr>
            <w:tcW w:w="1245" w:type="dxa"/>
            <w:vAlign w:val="center"/>
          </w:tcPr>
          <w:p>
            <w:pPr>
              <w:jc w:val="center"/>
              <w:rPr>
                <w:sz w:val="20"/>
                <w:szCs w:val="20"/>
              </w:rPr>
            </w:pPr>
            <w:r>
              <w:rPr>
                <w:rFonts w:hint="eastAsia"/>
                <w:sz w:val="20"/>
                <w:szCs w:val="20"/>
              </w:rPr>
              <w:t>5</w:t>
            </w:r>
          </w:p>
        </w:tc>
        <w:tc>
          <w:tcPr>
            <w:tcW w:w="887" w:type="dxa"/>
            <w:vAlign w:val="center"/>
          </w:tcPr>
          <w:p>
            <w:pPr>
              <w:jc w:val="center"/>
              <w:rPr>
                <w:sz w:val="20"/>
                <w:szCs w:val="20"/>
              </w:rPr>
            </w:pPr>
            <w:r>
              <w:rPr>
                <w:rFonts w:hint="eastAsia"/>
                <w:sz w:val="20"/>
                <w:szCs w:val="20"/>
              </w:rPr>
              <w:t>3</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bottom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1292" w:type="dxa"/>
            <w:vMerge w:val="continue"/>
            <w:tcBorders>
              <w:bottom w:val="single" w:color="000000" w:sz="4" w:space="0"/>
            </w:tcBorders>
          </w:tcPr>
          <w:p>
            <w:pPr>
              <w:rPr>
                <w:sz w:val="21"/>
                <w:szCs w:val="21"/>
              </w:rPr>
            </w:pPr>
          </w:p>
        </w:tc>
        <w:tc>
          <w:tcPr>
            <w:tcW w:w="2238" w:type="dxa"/>
            <w:tcBorders>
              <w:top w:val="single" w:color="000000" w:sz="4" w:space="0"/>
              <w:left w:val="single" w:color="000000" w:sz="4" w:space="0"/>
              <w:bottom w:val="single" w:color="000000" w:sz="4" w:space="0"/>
              <w:right w:val="single" w:color="000000" w:sz="4" w:space="0"/>
            </w:tcBorders>
            <w:vAlign w:val="center"/>
          </w:tcPr>
          <w:p>
            <w:pPr>
              <w:jc w:val="center"/>
              <w:rPr>
                <w:sz w:val="20"/>
                <w:szCs w:val="20"/>
              </w:rPr>
            </w:pPr>
            <w:r>
              <w:rPr>
                <w:rFonts w:hint="eastAsia"/>
                <w:sz w:val="20"/>
                <w:szCs w:val="20"/>
              </w:rPr>
              <w:t>智能控制</w:t>
            </w:r>
          </w:p>
        </w:tc>
        <w:tc>
          <w:tcPr>
            <w:tcW w:w="1245" w:type="dxa"/>
            <w:tcBorders>
              <w:top w:val="single" w:color="000000" w:sz="4" w:space="0"/>
              <w:left w:val="single" w:color="000000" w:sz="4" w:space="0"/>
              <w:bottom w:val="single" w:color="000000" w:sz="4" w:space="0"/>
              <w:right w:val="single" w:color="000000" w:sz="4" w:space="0"/>
            </w:tcBorders>
            <w:vAlign w:val="center"/>
          </w:tcPr>
          <w:p>
            <w:pPr>
              <w:jc w:val="center"/>
              <w:rPr>
                <w:sz w:val="20"/>
                <w:szCs w:val="20"/>
              </w:rPr>
            </w:pPr>
            <w:r>
              <w:rPr>
                <w:rFonts w:hint="eastAsia"/>
                <w:sz w:val="20"/>
                <w:szCs w:val="20"/>
              </w:rPr>
              <w:t>5</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sz w:val="20"/>
                <w:szCs w:val="20"/>
              </w:rPr>
            </w:pPr>
            <w:r>
              <w:rPr>
                <w:rFonts w:hint="eastAsia"/>
                <w:sz w:val="20"/>
                <w:szCs w:val="20"/>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restart"/>
            <w:tcBorders>
              <w:top w:val="single" w:color="000000" w:sz="4" w:space="0"/>
              <w:left w:val="single" w:color="000000" w:sz="4" w:space="0"/>
              <w:bottom w:val="single" w:color="000000" w:sz="4" w:space="0"/>
              <w:right w:val="single" w:color="000000" w:sz="4" w:space="0"/>
            </w:tcBorders>
          </w:tcPr>
          <w:p>
            <w:pPr>
              <w:rPr>
                <w:sz w:val="21"/>
                <w:szCs w:val="21"/>
              </w:rPr>
            </w:pPr>
          </w:p>
          <w:p>
            <w:pPr>
              <w:rPr>
                <w:sz w:val="21"/>
                <w:szCs w:val="21"/>
              </w:rPr>
            </w:pPr>
          </w:p>
          <w:p>
            <w:pPr>
              <w:rPr>
                <w:sz w:val="21"/>
                <w:szCs w:val="21"/>
              </w:rPr>
            </w:pPr>
            <w:r>
              <w:rPr>
                <w:sz w:val="21"/>
                <w:szCs w:val="21"/>
              </w:rPr>
              <w:t>跨专业选修</w:t>
            </w:r>
          </w:p>
          <w:p>
            <w:pPr>
              <w:rPr>
                <w:sz w:val="21"/>
                <w:szCs w:val="21"/>
              </w:rPr>
            </w:pPr>
            <w:r>
              <w:rPr>
                <w:sz w:val="21"/>
                <w:szCs w:val="21"/>
              </w:rPr>
              <w:t>（本二级学院内跨专业）</w:t>
            </w: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vAlign w:val="center"/>
          </w:tcPr>
          <w:p>
            <w:pPr>
              <w:pStyle w:val="15"/>
              <w:jc w:val="left"/>
              <w:rPr>
                <w:sz w:val="21"/>
                <w:szCs w:val="21"/>
              </w:rPr>
            </w:pPr>
            <w:r>
              <w:rPr>
                <w:rFonts w:hint="eastAsia"/>
                <w:b w:val="0"/>
                <w:sz w:val="20"/>
                <w:szCs w:val="20"/>
              </w:rPr>
              <w:t>智能云家居项目实训</w:t>
            </w:r>
          </w:p>
        </w:tc>
        <w:tc>
          <w:tcPr>
            <w:tcW w:w="1245" w:type="dxa"/>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0"/>
                <w:szCs w:val="20"/>
              </w:rPr>
              <w:t>5</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0"/>
                <w:szCs w:val="20"/>
              </w:rPr>
              <w:t>10</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vAlign w:val="center"/>
          </w:tcPr>
          <w:p>
            <w:pPr>
              <w:pStyle w:val="15"/>
              <w:jc w:val="left"/>
              <w:rPr>
                <w:sz w:val="21"/>
                <w:szCs w:val="21"/>
              </w:rPr>
            </w:pPr>
            <w:r>
              <w:rPr>
                <w:rFonts w:hint="eastAsia"/>
                <w:b w:val="0"/>
                <w:sz w:val="20"/>
                <w:szCs w:val="20"/>
              </w:rPr>
              <w:t>物联网智能车库项目实训</w:t>
            </w:r>
          </w:p>
        </w:tc>
        <w:tc>
          <w:tcPr>
            <w:tcW w:w="1245" w:type="dxa"/>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0"/>
                <w:szCs w:val="20"/>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rFonts w:hint="eastAsia"/>
                <w:sz w:val="20"/>
                <w:szCs w:val="20"/>
              </w:rPr>
              <w:t>10</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4"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vAlign w:val="center"/>
          </w:tcPr>
          <w:p>
            <w:pPr>
              <w:pStyle w:val="15"/>
              <w:jc w:val="left"/>
              <w:rPr>
                <w:sz w:val="21"/>
                <w:szCs w:val="21"/>
              </w:rPr>
            </w:pPr>
            <w:r>
              <w:rPr>
                <w:rFonts w:hint="eastAsia"/>
                <w:b w:val="0"/>
                <w:sz w:val="20"/>
                <w:szCs w:val="20"/>
              </w:rPr>
              <w:t>智能电子产品设计与应用实训</w:t>
            </w:r>
          </w:p>
        </w:tc>
        <w:tc>
          <w:tcPr>
            <w:tcW w:w="1245" w:type="dxa"/>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0"/>
                <w:szCs w:val="20"/>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rFonts w:hint="eastAsia"/>
                <w:sz w:val="20"/>
                <w:szCs w:val="20"/>
              </w:rPr>
              <w:t>10</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vAlign w:val="center"/>
          </w:tcPr>
          <w:p>
            <w:pPr>
              <w:pStyle w:val="15"/>
              <w:jc w:val="left"/>
              <w:rPr>
                <w:sz w:val="21"/>
                <w:szCs w:val="21"/>
              </w:rPr>
            </w:pPr>
            <w:r>
              <w:rPr>
                <w:rFonts w:hint="eastAsia"/>
                <w:b w:val="0"/>
                <w:sz w:val="20"/>
                <w:szCs w:val="20"/>
              </w:rPr>
              <w:t>网络安全与管理实训</w:t>
            </w:r>
          </w:p>
        </w:tc>
        <w:tc>
          <w:tcPr>
            <w:tcW w:w="1245" w:type="dxa"/>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0"/>
                <w:szCs w:val="20"/>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rFonts w:hint="eastAsia"/>
                <w:sz w:val="20"/>
                <w:szCs w:val="20"/>
              </w:rPr>
              <w:t>10</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restart"/>
            <w:tcBorders>
              <w:top w:val="single" w:color="000000" w:sz="4" w:space="0"/>
              <w:left w:val="single" w:color="000000" w:sz="4" w:space="0"/>
              <w:bottom w:val="single" w:color="000000" w:sz="4" w:space="0"/>
              <w:right w:val="single" w:color="000000" w:sz="4" w:space="0"/>
            </w:tcBorders>
          </w:tcPr>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r>
              <w:rPr>
                <w:sz w:val="21"/>
                <w:szCs w:val="21"/>
              </w:rPr>
              <w:t>创业训练选修</w:t>
            </w: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创业机会筛选</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创业项目选择与分析</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7"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创业团队建设与管理</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创新思维与实践</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3"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商业模式与创新</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创业融资</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商业计划书制定</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互联网思维与创新</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4</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企业风险识别与规避</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4</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企业创办流程</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4"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初创型企业运营管理实务</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36"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创业企业法律风险与防范</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9" w:hRule="atLeast"/>
        </w:trPr>
        <w:tc>
          <w:tcPr>
            <w:tcW w:w="1217" w:type="dxa"/>
            <w:vMerge w:val="restart"/>
            <w:tcBorders>
              <w:top w:val="single" w:color="000000" w:sz="4" w:space="0"/>
              <w:left w:val="single" w:color="000000" w:sz="4" w:space="0"/>
              <w:bottom w:val="single" w:color="000000" w:sz="4" w:space="0"/>
              <w:right w:val="single" w:color="000000" w:sz="4" w:space="0"/>
            </w:tcBorders>
          </w:tcPr>
          <w:p>
            <w:pPr>
              <w:rPr>
                <w:sz w:val="21"/>
                <w:szCs w:val="21"/>
              </w:rPr>
            </w:pPr>
          </w:p>
          <w:p>
            <w:pPr>
              <w:rPr>
                <w:sz w:val="21"/>
                <w:szCs w:val="21"/>
              </w:rPr>
            </w:pPr>
          </w:p>
          <w:p>
            <w:pPr>
              <w:rPr>
                <w:sz w:val="21"/>
                <w:szCs w:val="21"/>
              </w:rPr>
            </w:pPr>
          </w:p>
          <w:p>
            <w:pPr>
              <w:rPr>
                <w:sz w:val="21"/>
                <w:szCs w:val="21"/>
              </w:rPr>
            </w:pPr>
          </w:p>
          <w:p>
            <w:pPr>
              <w:rPr>
                <w:sz w:val="21"/>
                <w:szCs w:val="21"/>
              </w:rPr>
            </w:pPr>
          </w:p>
          <w:p>
            <w:pPr>
              <w:rPr>
                <w:sz w:val="21"/>
                <w:szCs w:val="21"/>
              </w:rPr>
            </w:pPr>
            <w:r>
              <w:rPr>
                <w:sz w:val="21"/>
                <w:szCs w:val="21"/>
              </w:rPr>
              <w:t>升学留学选修（含小语种）</w:t>
            </w: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外语能力提升法与留学申请技巧</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81"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世界各国文化概况</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9"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跨文化交际</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2</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2"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法语（小语种教学）</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0"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日语（小语种教学）</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2"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韩语（小语种教学）</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472" w:hRule="atLeast"/>
        </w:trPr>
        <w:tc>
          <w:tcPr>
            <w:tcW w:w="1217" w:type="dxa"/>
            <w:vMerge w:val="continue"/>
            <w:tcBorders>
              <w:top w:val="nil"/>
              <w:left w:val="single" w:color="000000" w:sz="4" w:space="0"/>
              <w:bottom w:val="single" w:color="000000" w:sz="4" w:space="0"/>
              <w:right w:val="single" w:color="000000" w:sz="4" w:space="0"/>
            </w:tcBorders>
          </w:tcPr>
          <w:p>
            <w:pPr>
              <w:rPr>
                <w:sz w:val="21"/>
                <w:szCs w:val="21"/>
              </w:rPr>
            </w:pPr>
          </w:p>
        </w:tc>
        <w:tc>
          <w:tcPr>
            <w:tcW w:w="1026" w:type="dxa"/>
            <w:tcBorders>
              <w:top w:val="single" w:color="000000" w:sz="4" w:space="0"/>
              <w:left w:val="single" w:color="000000" w:sz="4" w:space="0"/>
              <w:bottom w:val="single" w:color="000000" w:sz="4" w:space="0"/>
              <w:right w:val="single" w:color="000000" w:sz="4" w:space="0"/>
            </w:tcBorders>
          </w:tcPr>
          <w:p>
            <w:pPr>
              <w:rPr>
                <w:sz w:val="21"/>
                <w:szCs w:val="21"/>
              </w:rPr>
            </w:pPr>
          </w:p>
        </w:tc>
        <w:tc>
          <w:tcPr>
            <w:tcW w:w="3530" w:type="dxa"/>
            <w:gridSpan w:val="2"/>
            <w:tcBorders>
              <w:top w:val="single" w:color="000000" w:sz="4" w:space="0"/>
              <w:left w:val="single" w:color="000000" w:sz="4" w:space="0"/>
              <w:bottom w:val="single" w:color="000000" w:sz="4" w:space="0"/>
              <w:right w:val="single" w:color="000000" w:sz="4" w:space="0"/>
            </w:tcBorders>
          </w:tcPr>
          <w:p>
            <w:pPr>
              <w:rPr>
                <w:sz w:val="21"/>
                <w:szCs w:val="21"/>
              </w:rPr>
            </w:pPr>
            <w:r>
              <w:rPr>
                <w:sz w:val="21"/>
                <w:szCs w:val="21"/>
              </w:rPr>
              <w:t>出国英语口语</w:t>
            </w:r>
          </w:p>
        </w:tc>
        <w:tc>
          <w:tcPr>
            <w:tcW w:w="1245"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5</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3</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314" w:hRule="atLeast"/>
        </w:trPr>
        <w:tc>
          <w:tcPr>
            <w:tcW w:w="7018" w:type="dxa"/>
            <w:gridSpan w:val="5"/>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专业选修（分类限选）课程最少需要修读的学分</w:t>
            </w: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r>
              <w:rPr>
                <w:sz w:val="21"/>
                <w:szCs w:val="21"/>
              </w:rPr>
              <w:t>10</w:t>
            </w:r>
          </w:p>
        </w:tc>
      </w:tr>
      <w:tr>
        <w:tblPrEx>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CellMar>
            <w:top w:w="0" w:type="dxa"/>
            <w:left w:w="0" w:type="dxa"/>
            <w:bottom w:w="0" w:type="dxa"/>
            <w:right w:w="0" w:type="dxa"/>
          </w:tblCellMar>
        </w:tblPrEx>
        <w:trPr>
          <w:trHeight w:val="314" w:hRule="atLeast"/>
        </w:trPr>
        <w:tc>
          <w:tcPr>
            <w:tcW w:w="7018" w:type="dxa"/>
            <w:gridSpan w:val="5"/>
            <w:tcBorders>
              <w:top w:val="single" w:color="000000" w:sz="4" w:space="0"/>
              <w:left w:val="single" w:color="000000" w:sz="4" w:space="0"/>
              <w:bottom w:val="single" w:color="000000" w:sz="4" w:space="0"/>
              <w:right w:val="single" w:color="000000" w:sz="4" w:space="0"/>
            </w:tcBorders>
          </w:tcPr>
          <w:p>
            <w:pPr>
              <w:rPr>
                <w:sz w:val="21"/>
                <w:szCs w:val="21"/>
              </w:rPr>
            </w:pPr>
          </w:p>
        </w:tc>
        <w:tc>
          <w:tcPr>
            <w:tcW w:w="887" w:type="dxa"/>
            <w:tcBorders>
              <w:top w:val="single" w:color="000000" w:sz="4" w:space="0"/>
              <w:left w:val="single" w:color="000000" w:sz="4" w:space="0"/>
              <w:bottom w:val="single" w:color="000000" w:sz="4" w:space="0"/>
              <w:right w:val="single" w:color="000000" w:sz="4" w:space="0"/>
            </w:tcBorders>
          </w:tcPr>
          <w:p>
            <w:pPr>
              <w:jc w:val="center"/>
              <w:rPr>
                <w:sz w:val="21"/>
                <w:szCs w:val="21"/>
              </w:rPr>
            </w:pPr>
          </w:p>
        </w:tc>
      </w:tr>
    </w:tbl>
    <w:p>
      <w:pPr>
        <w:spacing w:line="312" w:lineRule="auto"/>
        <w:ind w:firstLine="480" w:firstLineChars="200"/>
        <w:rPr>
          <w:sz w:val="24"/>
          <w:szCs w:val="24"/>
        </w:rPr>
      </w:pPr>
      <w:r>
        <w:rPr>
          <w:sz w:val="24"/>
          <w:szCs w:val="24"/>
        </w:rPr>
        <w:t>说明：限选课程包如果设计成为专业创业模块，可与创业管理学院一起设计课程并委托创业管理学院教学；如果设计成企业真实项目实践，可将企业做为教学地点直接实践授课；如果设计成为理论+实践教学，可按常规进行课堂教学活动。</w:t>
      </w:r>
    </w:p>
    <w:p>
      <w:pPr>
        <w:spacing w:line="312" w:lineRule="auto"/>
        <w:ind w:firstLine="482" w:firstLineChars="200"/>
        <w:rPr>
          <w:b/>
          <w:bCs/>
          <w:sz w:val="24"/>
          <w:szCs w:val="24"/>
        </w:rPr>
      </w:pPr>
      <w:r>
        <w:rPr>
          <w:rFonts w:hint="eastAsia"/>
          <w:b/>
          <w:bCs/>
          <w:sz w:val="24"/>
          <w:szCs w:val="24"/>
          <w:lang w:val="en-US"/>
        </w:rPr>
        <w:t xml:space="preserve">16.4.3.4 </w:t>
      </w:r>
      <w:r>
        <w:rPr>
          <w:b/>
          <w:bCs/>
          <w:sz w:val="24"/>
          <w:szCs w:val="24"/>
        </w:rPr>
        <w:t>创新创业（</w:t>
      </w:r>
      <w:r>
        <w:rPr>
          <w:rFonts w:hint="eastAsia"/>
          <w:b/>
          <w:bCs/>
          <w:sz w:val="24"/>
          <w:szCs w:val="24"/>
          <w:lang w:val="en-US"/>
        </w:rPr>
        <w:t>5+3</w:t>
      </w:r>
      <w:r>
        <w:rPr>
          <w:b/>
          <w:bCs/>
          <w:sz w:val="24"/>
          <w:szCs w:val="24"/>
        </w:rPr>
        <w:t>选项）实践</w:t>
      </w:r>
    </w:p>
    <w:p>
      <w:pPr>
        <w:spacing w:line="312" w:lineRule="auto"/>
        <w:ind w:firstLine="480" w:firstLineChars="200"/>
        <w:rPr>
          <w:sz w:val="24"/>
          <w:szCs w:val="24"/>
        </w:rPr>
      </w:pPr>
      <w:r>
        <w:rPr>
          <w:sz w:val="24"/>
          <w:szCs w:val="24"/>
        </w:rPr>
        <w:t xml:space="preserve">创新创业（选项）实践课，占 </w:t>
      </w:r>
      <w:r>
        <w:rPr>
          <w:rFonts w:hint="eastAsia"/>
          <w:sz w:val="24"/>
          <w:szCs w:val="24"/>
        </w:rPr>
        <w:t>10</w:t>
      </w:r>
      <w:r>
        <w:rPr>
          <w:sz w:val="24"/>
          <w:szCs w:val="24"/>
        </w:rPr>
        <w:t xml:space="preserve"> 学分，如表 1</w:t>
      </w:r>
      <w:r>
        <w:rPr>
          <w:rFonts w:hint="eastAsia"/>
          <w:sz w:val="24"/>
          <w:szCs w:val="24"/>
        </w:rPr>
        <w:t>6</w:t>
      </w:r>
      <w:r>
        <w:rPr>
          <w:sz w:val="24"/>
          <w:szCs w:val="24"/>
        </w:rPr>
        <w:t>-8 所示：</w:t>
      </w:r>
    </w:p>
    <w:p>
      <w:pPr>
        <w:spacing w:line="312" w:lineRule="auto"/>
        <w:jc w:val="center"/>
        <w:rPr>
          <w:sz w:val="24"/>
          <w:szCs w:val="24"/>
        </w:rPr>
      </w:pPr>
      <w:r>
        <w:rPr>
          <w:sz w:val="24"/>
          <w:szCs w:val="24"/>
        </w:rPr>
        <w:t>表 1</w:t>
      </w:r>
      <w:r>
        <w:rPr>
          <w:rFonts w:hint="eastAsia"/>
          <w:sz w:val="24"/>
          <w:szCs w:val="24"/>
        </w:rPr>
        <w:t>6</w:t>
      </w:r>
      <w:r>
        <w:rPr>
          <w:sz w:val="24"/>
          <w:szCs w:val="24"/>
        </w:rPr>
        <w:t>-8 创新创业（</w:t>
      </w:r>
      <w:r>
        <w:rPr>
          <w:rFonts w:hint="eastAsia"/>
          <w:sz w:val="24"/>
          <w:szCs w:val="24"/>
          <w:lang w:val="en-US"/>
        </w:rPr>
        <w:t>5+3</w:t>
      </w:r>
      <w:r>
        <w:rPr>
          <w:sz w:val="24"/>
          <w:szCs w:val="24"/>
        </w:rPr>
        <w:t>选项）实践课</w:t>
      </w:r>
    </w:p>
    <w:tbl>
      <w:tblPr>
        <w:tblStyle w:val="7"/>
        <w:tblW w:w="0" w:type="auto"/>
        <w:tblInd w:w="4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4050"/>
        <w:gridCol w:w="1978"/>
        <w:gridCol w:w="9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008" w:type="dxa"/>
          </w:tcPr>
          <w:p>
            <w:pPr>
              <w:spacing w:line="312" w:lineRule="auto"/>
              <w:jc w:val="center"/>
              <w:rPr>
                <w:b/>
                <w:bCs/>
                <w:sz w:val="21"/>
                <w:szCs w:val="21"/>
              </w:rPr>
            </w:pPr>
            <w:r>
              <w:rPr>
                <w:b/>
                <w:bCs/>
                <w:sz w:val="21"/>
                <w:szCs w:val="21"/>
              </w:rPr>
              <w:t>课程编码</w:t>
            </w:r>
          </w:p>
        </w:tc>
        <w:tc>
          <w:tcPr>
            <w:tcW w:w="4050" w:type="dxa"/>
          </w:tcPr>
          <w:p>
            <w:pPr>
              <w:spacing w:line="312" w:lineRule="auto"/>
              <w:jc w:val="center"/>
              <w:rPr>
                <w:b/>
                <w:bCs/>
                <w:sz w:val="21"/>
                <w:szCs w:val="21"/>
              </w:rPr>
            </w:pPr>
            <w:r>
              <w:rPr>
                <w:b/>
                <w:bCs/>
                <w:sz w:val="21"/>
                <w:szCs w:val="21"/>
              </w:rPr>
              <w:t>创新创业（选项）实践项目要求</w:t>
            </w:r>
          </w:p>
        </w:tc>
        <w:tc>
          <w:tcPr>
            <w:tcW w:w="1978" w:type="dxa"/>
          </w:tcPr>
          <w:p>
            <w:pPr>
              <w:spacing w:line="312" w:lineRule="auto"/>
              <w:jc w:val="center"/>
              <w:rPr>
                <w:b/>
                <w:bCs/>
                <w:sz w:val="21"/>
                <w:szCs w:val="21"/>
              </w:rPr>
            </w:pPr>
            <w:r>
              <w:rPr>
                <w:b/>
                <w:bCs/>
                <w:sz w:val="21"/>
                <w:szCs w:val="21"/>
              </w:rPr>
              <w:t>开设学期</w:t>
            </w:r>
          </w:p>
        </w:tc>
        <w:tc>
          <w:tcPr>
            <w:tcW w:w="902" w:type="dxa"/>
          </w:tcPr>
          <w:p>
            <w:pPr>
              <w:spacing w:line="312" w:lineRule="auto"/>
              <w:jc w:val="center"/>
              <w:rPr>
                <w:b/>
                <w:bCs/>
                <w:sz w:val="21"/>
                <w:szCs w:val="21"/>
              </w:rPr>
            </w:pPr>
            <w:r>
              <w:rPr>
                <w:b/>
                <w:bCs/>
                <w:sz w:val="21"/>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trPr>
        <w:tc>
          <w:tcPr>
            <w:tcW w:w="1008" w:type="dxa"/>
          </w:tcPr>
          <w:p>
            <w:pPr>
              <w:spacing w:line="312" w:lineRule="auto"/>
              <w:rPr>
                <w:sz w:val="21"/>
                <w:szCs w:val="21"/>
              </w:rPr>
            </w:pPr>
          </w:p>
        </w:tc>
        <w:tc>
          <w:tcPr>
            <w:tcW w:w="4050" w:type="dxa"/>
          </w:tcPr>
          <w:p>
            <w:pPr>
              <w:spacing w:line="312" w:lineRule="auto"/>
              <w:rPr>
                <w:sz w:val="21"/>
                <w:szCs w:val="21"/>
              </w:rPr>
            </w:pPr>
            <w:r>
              <w:rPr>
                <w:sz w:val="21"/>
                <w:szCs w:val="21"/>
              </w:rPr>
              <w:t>要求学生毕业前需参加</w:t>
            </w:r>
            <w:r>
              <w:rPr>
                <w:rFonts w:hint="eastAsia"/>
                <w:sz w:val="21"/>
                <w:szCs w:val="21"/>
              </w:rPr>
              <w:t>过电商或公益（含乡村振兴）</w:t>
            </w:r>
            <w:r>
              <w:rPr>
                <w:sz w:val="21"/>
                <w:szCs w:val="21"/>
              </w:rPr>
              <w:t>真实项目实践，</w:t>
            </w:r>
            <w:r>
              <w:rPr>
                <w:rFonts w:hint="eastAsia"/>
                <w:sz w:val="21"/>
                <w:szCs w:val="21"/>
              </w:rPr>
              <w:t>分两个个考核周期，</w:t>
            </w:r>
            <w:r>
              <w:rPr>
                <w:sz w:val="21"/>
                <w:szCs w:val="21"/>
              </w:rPr>
              <w:t>按照《创新创业选项实践成果考核暂行办法》依据学习成果</w:t>
            </w:r>
            <w:r>
              <w:rPr>
                <w:rFonts w:hint="eastAsia"/>
                <w:sz w:val="21"/>
                <w:szCs w:val="21"/>
              </w:rPr>
              <w:t>认定相应</w:t>
            </w:r>
            <w:r>
              <w:rPr>
                <w:sz w:val="21"/>
                <w:szCs w:val="21"/>
              </w:rPr>
              <w:t>学分</w:t>
            </w:r>
          </w:p>
        </w:tc>
        <w:tc>
          <w:tcPr>
            <w:tcW w:w="1978" w:type="dxa"/>
          </w:tcPr>
          <w:p>
            <w:pPr>
              <w:spacing w:line="312" w:lineRule="auto"/>
              <w:rPr>
                <w:sz w:val="21"/>
                <w:szCs w:val="21"/>
              </w:rPr>
            </w:pPr>
            <w:r>
              <w:rPr>
                <w:sz w:val="21"/>
                <w:szCs w:val="21"/>
              </w:rPr>
              <w:t>从第1</w:t>
            </w:r>
            <w:r>
              <w:rPr>
                <w:rFonts w:hint="eastAsia"/>
                <w:sz w:val="21"/>
                <w:szCs w:val="21"/>
                <w:lang w:val="en-US"/>
              </w:rPr>
              <w:t>-3</w:t>
            </w:r>
            <w:r>
              <w:rPr>
                <w:sz w:val="21"/>
                <w:szCs w:val="21"/>
              </w:rPr>
              <w:t>学期</w:t>
            </w:r>
            <w:r>
              <w:rPr>
                <w:rFonts w:hint="eastAsia"/>
                <w:sz w:val="21"/>
                <w:szCs w:val="21"/>
              </w:rPr>
              <w:t>，在老师指导下，</w:t>
            </w:r>
            <w:r>
              <w:rPr>
                <w:sz w:val="21"/>
                <w:szCs w:val="21"/>
              </w:rPr>
              <w:t>利用课内外时间有组织参加</w:t>
            </w:r>
            <w:r>
              <w:rPr>
                <w:rFonts w:hint="eastAsia"/>
                <w:sz w:val="21"/>
                <w:szCs w:val="21"/>
              </w:rPr>
              <w:t>，完成预期学习成果</w:t>
            </w:r>
          </w:p>
        </w:tc>
        <w:tc>
          <w:tcPr>
            <w:tcW w:w="902" w:type="dxa"/>
            <w:vAlign w:val="center"/>
          </w:tcPr>
          <w:p>
            <w:pPr>
              <w:spacing w:line="312" w:lineRule="auto"/>
              <w:jc w:val="center"/>
              <w:rPr>
                <w:sz w:val="21"/>
                <w:szCs w:val="21"/>
              </w:rPr>
            </w:pPr>
            <w:r>
              <w:rPr>
                <w:sz w:val="21"/>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7" w:hRule="atLeast"/>
        </w:trPr>
        <w:tc>
          <w:tcPr>
            <w:tcW w:w="1008" w:type="dxa"/>
          </w:tcPr>
          <w:p>
            <w:pPr>
              <w:spacing w:line="312" w:lineRule="auto"/>
              <w:rPr>
                <w:sz w:val="21"/>
                <w:szCs w:val="21"/>
              </w:rPr>
            </w:pPr>
          </w:p>
        </w:tc>
        <w:tc>
          <w:tcPr>
            <w:tcW w:w="4050" w:type="dxa"/>
          </w:tcPr>
          <w:p>
            <w:pPr>
              <w:spacing w:line="312" w:lineRule="auto"/>
              <w:rPr>
                <w:sz w:val="21"/>
                <w:szCs w:val="21"/>
              </w:rPr>
            </w:pPr>
            <w:r>
              <w:rPr>
                <w:sz w:val="21"/>
                <w:szCs w:val="21"/>
              </w:rPr>
              <w:t>要求学生毕业前需参加</w:t>
            </w:r>
            <w:r>
              <w:rPr>
                <w:rFonts w:hint="eastAsia"/>
                <w:sz w:val="21"/>
                <w:szCs w:val="21"/>
              </w:rPr>
              <w:t>过电商或公益（含乡村振兴）或专业</w:t>
            </w:r>
            <w:r>
              <w:rPr>
                <w:sz w:val="21"/>
                <w:szCs w:val="21"/>
              </w:rPr>
              <w:t>真实项目实践，</w:t>
            </w:r>
            <w:r>
              <w:rPr>
                <w:rFonts w:hint="eastAsia"/>
                <w:sz w:val="21"/>
                <w:szCs w:val="21"/>
              </w:rPr>
              <w:t>分两个个考核周期，</w:t>
            </w:r>
            <w:r>
              <w:rPr>
                <w:sz w:val="21"/>
                <w:szCs w:val="21"/>
              </w:rPr>
              <w:t>按照《创新创业选项实践成果考核暂行办法》依据学习成果</w:t>
            </w:r>
            <w:r>
              <w:rPr>
                <w:rFonts w:hint="eastAsia"/>
                <w:sz w:val="21"/>
                <w:szCs w:val="21"/>
              </w:rPr>
              <w:t>认定相应</w:t>
            </w:r>
            <w:r>
              <w:rPr>
                <w:sz w:val="21"/>
                <w:szCs w:val="21"/>
              </w:rPr>
              <w:t>学分</w:t>
            </w:r>
          </w:p>
        </w:tc>
        <w:tc>
          <w:tcPr>
            <w:tcW w:w="1978" w:type="dxa"/>
          </w:tcPr>
          <w:p>
            <w:pPr>
              <w:spacing w:line="312" w:lineRule="auto"/>
              <w:rPr>
                <w:sz w:val="21"/>
                <w:szCs w:val="21"/>
              </w:rPr>
            </w:pPr>
            <w:r>
              <w:rPr>
                <w:sz w:val="21"/>
                <w:szCs w:val="21"/>
              </w:rPr>
              <w:t>从第</w:t>
            </w:r>
            <w:r>
              <w:rPr>
                <w:rFonts w:hint="eastAsia"/>
                <w:sz w:val="21"/>
                <w:szCs w:val="21"/>
                <w:lang w:val="en-US"/>
              </w:rPr>
              <w:t>3-6</w:t>
            </w:r>
            <w:r>
              <w:rPr>
                <w:sz w:val="21"/>
                <w:szCs w:val="21"/>
              </w:rPr>
              <w:t>学期</w:t>
            </w:r>
            <w:r>
              <w:rPr>
                <w:rFonts w:hint="eastAsia"/>
                <w:sz w:val="21"/>
                <w:szCs w:val="21"/>
              </w:rPr>
              <w:t>，在老师指导下，</w:t>
            </w:r>
            <w:r>
              <w:rPr>
                <w:sz w:val="21"/>
                <w:szCs w:val="21"/>
              </w:rPr>
              <w:t>利用课内外时间有组织参加</w:t>
            </w:r>
            <w:r>
              <w:rPr>
                <w:rFonts w:hint="eastAsia"/>
                <w:sz w:val="21"/>
                <w:szCs w:val="21"/>
              </w:rPr>
              <w:t>，完成预期学习成果</w:t>
            </w:r>
          </w:p>
        </w:tc>
        <w:tc>
          <w:tcPr>
            <w:tcW w:w="902" w:type="dxa"/>
            <w:vAlign w:val="center"/>
          </w:tcPr>
          <w:p>
            <w:pPr>
              <w:spacing w:line="312" w:lineRule="auto"/>
              <w:jc w:val="center"/>
              <w:rPr>
                <w:sz w:val="21"/>
                <w:szCs w:val="21"/>
                <w:lang w:val="en-US"/>
              </w:rPr>
            </w:pPr>
            <w:r>
              <w:rPr>
                <w:rFonts w:hint="eastAsia"/>
                <w:sz w:val="21"/>
                <w:szCs w:val="21"/>
                <w:lang w:val="en-US"/>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7036" w:type="dxa"/>
            <w:gridSpan w:val="3"/>
          </w:tcPr>
          <w:p>
            <w:pPr>
              <w:spacing w:line="312" w:lineRule="auto"/>
              <w:jc w:val="center"/>
              <w:rPr>
                <w:sz w:val="21"/>
                <w:szCs w:val="21"/>
              </w:rPr>
            </w:pPr>
            <w:r>
              <w:rPr>
                <w:sz w:val="21"/>
                <w:szCs w:val="21"/>
              </w:rPr>
              <w:t>创新创业（</w:t>
            </w:r>
            <w:r>
              <w:rPr>
                <w:rFonts w:hint="eastAsia"/>
                <w:sz w:val="21"/>
                <w:szCs w:val="21"/>
                <w:lang w:val="en-US"/>
              </w:rPr>
              <w:t>5+3</w:t>
            </w:r>
            <w:r>
              <w:rPr>
                <w:sz w:val="21"/>
                <w:szCs w:val="21"/>
              </w:rPr>
              <w:t>选项）实践最少需要修读的学分</w:t>
            </w:r>
          </w:p>
        </w:tc>
        <w:tc>
          <w:tcPr>
            <w:tcW w:w="902" w:type="dxa"/>
          </w:tcPr>
          <w:p>
            <w:pPr>
              <w:spacing w:line="312" w:lineRule="auto"/>
              <w:jc w:val="center"/>
              <w:rPr>
                <w:sz w:val="21"/>
                <w:szCs w:val="21"/>
                <w:lang w:val="en-US"/>
              </w:rPr>
            </w:pPr>
            <w:r>
              <w:rPr>
                <w:rFonts w:hint="eastAsia"/>
                <w:sz w:val="21"/>
                <w:szCs w:val="21"/>
                <w:lang w:val="en-US"/>
              </w:rPr>
              <w:t>10</w:t>
            </w:r>
          </w:p>
        </w:tc>
      </w:tr>
    </w:tbl>
    <w:p>
      <w:pPr>
        <w:spacing w:line="312" w:lineRule="auto"/>
        <w:rPr>
          <w:sz w:val="24"/>
          <w:szCs w:val="24"/>
        </w:rPr>
      </w:pPr>
    </w:p>
    <w:p>
      <w:pPr>
        <w:spacing w:line="312" w:lineRule="auto"/>
        <w:ind w:firstLine="562" w:firstLineChars="200"/>
        <w:rPr>
          <w:sz w:val="24"/>
          <w:szCs w:val="24"/>
        </w:rPr>
      </w:pPr>
      <w:r>
        <w:rPr>
          <w:rFonts w:hint="eastAsia"/>
          <w:b/>
          <w:bCs/>
          <w:sz w:val="28"/>
          <w:szCs w:val="28"/>
          <w:lang w:val="en-US"/>
        </w:rPr>
        <w:t>16.5.</w:t>
      </w:r>
      <w:r>
        <w:rPr>
          <w:rFonts w:hint="eastAsia"/>
          <w:b/>
          <w:bCs/>
          <w:sz w:val="28"/>
          <w:szCs w:val="28"/>
        </w:rPr>
        <w:t>专业教学有关要求</w:t>
      </w:r>
    </w:p>
    <w:p>
      <w:pPr>
        <w:spacing w:line="312" w:lineRule="auto"/>
        <w:ind w:firstLine="480" w:firstLineChars="200"/>
        <w:rPr>
          <w:sz w:val="24"/>
          <w:szCs w:val="24"/>
        </w:rPr>
      </w:pPr>
      <w:r>
        <w:rPr>
          <w:rFonts w:hint="eastAsia"/>
          <w:sz w:val="24"/>
          <w:szCs w:val="24"/>
        </w:rPr>
        <w:t>（一）师资队伍</w:t>
      </w:r>
    </w:p>
    <w:p>
      <w:pPr>
        <w:spacing w:line="312" w:lineRule="auto"/>
        <w:ind w:firstLine="480" w:firstLineChars="200"/>
        <w:rPr>
          <w:sz w:val="24"/>
          <w:szCs w:val="24"/>
        </w:rPr>
      </w:pPr>
      <w:r>
        <w:rPr>
          <w:sz w:val="24"/>
          <w:szCs w:val="24"/>
        </w:rPr>
        <w:t>1、学生数与本专业专任教师数比例不高于25:1，双师素质教师占专业教师比例不低于60%，专任教师队伍同时兼顾职称、年龄，形成合理的梯队结构。</w:t>
      </w:r>
    </w:p>
    <w:p>
      <w:pPr>
        <w:spacing w:line="312" w:lineRule="auto"/>
        <w:ind w:firstLine="480" w:firstLineChars="200"/>
        <w:rPr>
          <w:sz w:val="24"/>
          <w:szCs w:val="24"/>
        </w:rPr>
      </w:pPr>
      <w:r>
        <w:rPr>
          <w:sz w:val="24"/>
          <w:szCs w:val="24"/>
        </w:rPr>
        <w:t>2、专任教师具备高校教师资格；有理想信念、有道德情操、有扎实学识、有仁爱之心；具有电子信息工程、通信工程等相关专业本科及以上学历；具有扎实的专业理论和实践能力；具有较强信息化教学能力，能够开展课程教学和科学研究；并有一定企业实践经历。</w:t>
      </w:r>
    </w:p>
    <w:p>
      <w:pPr>
        <w:spacing w:line="312" w:lineRule="auto"/>
        <w:ind w:firstLine="480" w:firstLineChars="200"/>
        <w:rPr>
          <w:sz w:val="24"/>
          <w:szCs w:val="24"/>
        </w:rPr>
      </w:pPr>
      <w:r>
        <w:rPr>
          <w:sz w:val="24"/>
          <w:szCs w:val="24"/>
        </w:rPr>
        <w:t>3、兼职教师</w:t>
      </w:r>
    </w:p>
    <w:p>
      <w:pPr>
        <w:spacing w:line="312" w:lineRule="auto"/>
        <w:ind w:firstLine="480" w:firstLineChars="200"/>
        <w:rPr>
          <w:sz w:val="24"/>
          <w:szCs w:val="24"/>
        </w:rPr>
      </w:pPr>
      <w:r>
        <w:rPr>
          <w:rFonts w:hint="eastAsia"/>
          <w:sz w:val="24"/>
          <w:szCs w:val="24"/>
        </w:rPr>
        <w:t>兼职教师主要从事本专业相关工作岗位，具备良好思想政治素质、职业道德和工匠精神，具有扎实的专业理论和实际工作经验。</w:t>
      </w:r>
    </w:p>
    <w:p>
      <w:pPr>
        <w:spacing w:line="312" w:lineRule="auto"/>
        <w:ind w:firstLine="480" w:firstLineChars="200"/>
        <w:rPr>
          <w:sz w:val="24"/>
          <w:szCs w:val="24"/>
        </w:rPr>
      </w:pPr>
      <w:r>
        <w:rPr>
          <w:rFonts w:hint="eastAsia"/>
          <w:sz w:val="24"/>
          <w:szCs w:val="24"/>
        </w:rPr>
        <w:t>（二）校内外实践条件</w:t>
      </w:r>
    </w:p>
    <w:p>
      <w:pPr>
        <w:spacing w:line="312" w:lineRule="auto"/>
        <w:ind w:firstLine="480" w:firstLineChars="200"/>
        <w:rPr>
          <w:sz w:val="24"/>
          <w:szCs w:val="24"/>
        </w:rPr>
      </w:pPr>
      <w:r>
        <w:rPr>
          <w:sz w:val="24"/>
          <w:szCs w:val="24"/>
        </w:rPr>
        <w:t>1、校内实践条件</w:t>
      </w:r>
    </w:p>
    <w:p>
      <w:pPr>
        <w:spacing w:line="312" w:lineRule="auto"/>
        <w:ind w:firstLine="480" w:firstLineChars="200"/>
        <w:rPr>
          <w:sz w:val="24"/>
          <w:szCs w:val="24"/>
        </w:rPr>
      </w:pPr>
      <w:r>
        <w:rPr>
          <w:rFonts w:hint="eastAsia"/>
          <w:sz w:val="24"/>
          <w:szCs w:val="24"/>
        </w:rPr>
        <w:t>具备电子电路实训室、单片机技术实训室、电子工艺实训室、创新实训室、传感器实训室等</w:t>
      </w:r>
    </w:p>
    <w:p>
      <w:pPr>
        <w:spacing w:line="312" w:lineRule="auto"/>
        <w:ind w:firstLine="480" w:firstLineChars="200"/>
        <w:rPr>
          <w:sz w:val="24"/>
          <w:szCs w:val="24"/>
        </w:rPr>
      </w:pPr>
      <w:r>
        <w:rPr>
          <w:sz w:val="24"/>
          <w:szCs w:val="24"/>
        </w:rPr>
        <w:t>2、校外实践条件</w:t>
      </w:r>
    </w:p>
    <w:p>
      <w:pPr>
        <w:spacing w:line="312" w:lineRule="auto"/>
        <w:ind w:firstLine="480" w:firstLineChars="200"/>
        <w:rPr>
          <w:sz w:val="24"/>
          <w:szCs w:val="24"/>
        </w:rPr>
      </w:pPr>
      <w:r>
        <w:rPr>
          <w:rFonts w:hint="eastAsia"/>
          <w:sz w:val="24"/>
          <w:szCs w:val="24"/>
        </w:rPr>
        <w:t>校外实训基地要求具有完善的管理规章制度，并且能够完成电子产品设计、生产管理、品质检测、产品维修等实训活动。</w:t>
      </w:r>
    </w:p>
    <w:p>
      <w:pPr>
        <w:spacing w:line="312" w:lineRule="auto"/>
        <w:ind w:firstLine="562" w:firstLineChars="200"/>
        <w:rPr>
          <w:b/>
          <w:bCs/>
          <w:sz w:val="28"/>
          <w:szCs w:val="28"/>
        </w:rPr>
      </w:pPr>
      <w:r>
        <w:rPr>
          <w:rFonts w:hint="eastAsia"/>
          <w:b/>
          <w:bCs/>
          <w:sz w:val="28"/>
          <w:szCs w:val="28"/>
          <w:lang w:val="en-US"/>
        </w:rPr>
        <w:t xml:space="preserve">16.6. </w:t>
      </w:r>
      <w:r>
        <w:rPr>
          <w:rFonts w:hint="eastAsia"/>
          <w:b/>
          <w:bCs/>
          <w:sz w:val="28"/>
          <w:szCs w:val="28"/>
        </w:rPr>
        <w:t>课程教学进程表</w:t>
      </w:r>
    </w:p>
    <w:p>
      <w:pPr>
        <w:spacing w:line="312" w:lineRule="auto"/>
        <w:rPr>
          <w:sz w:val="24"/>
          <w:szCs w:val="24"/>
        </w:rPr>
      </w:pPr>
      <w:r>
        <w:rPr>
          <w:rFonts w:hint="eastAsia"/>
          <w:sz w:val="24"/>
          <w:szCs w:val="24"/>
        </w:rPr>
        <w:t>电子信息工程技术专业教学进程表如表</w:t>
      </w:r>
      <w:r>
        <w:rPr>
          <w:sz w:val="24"/>
          <w:szCs w:val="24"/>
        </w:rPr>
        <w:t xml:space="preserve"> 1</w:t>
      </w:r>
      <w:r>
        <w:rPr>
          <w:rFonts w:hint="eastAsia"/>
          <w:sz w:val="24"/>
          <w:szCs w:val="24"/>
        </w:rPr>
        <w:t>6</w:t>
      </w:r>
      <w:r>
        <w:rPr>
          <w:sz w:val="24"/>
          <w:szCs w:val="24"/>
        </w:rPr>
        <w:t>-9 所示。</w:t>
      </w:r>
    </w:p>
    <w:p>
      <w:pPr>
        <w:spacing w:line="312" w:lineRule="auto"/>
        <w:rPr>
          <w:sz w:val="24"/>
          <w:szCs w:val="24"/>
        </w:rPr>
      </w:pPr>
      <w:bookmarkStart w:id="0" w:name="_GoBack"/>
      <w:bookmarkEnd w:id="0"/>
    </w:p>
    <w:p>
      <w:pPr>
        <w:spacing w:line="312" w:lineRule="auto"/>
        <w:ind w:firstLine="562" w:firstLineChars="200"/>
        <w:rPr>
          <w:b/>
          <w:bCs/>
          <w:sz w:val="28"/>
          <w:szCs w:val="28"/>
        </w:rPr>
      </w:pPr>
      <w:r>
        <w:rPr>
          <w:rFonts w:hint="eastAsia"/>
          <w:b/>
          <w:bCs/>
          <w:sz w:val="28"/>
          <w:szCs w:val="28"/>
          <w:lang w:val="en-US"/>
        </w:rPr>
        <w:t xml:space="preserve">16.7. </w:t>
      </w:r>
      <w:r>
        <w:rPr>
          <w:rFonts w:hint="eastAsia"/>
          <w:b/>
          <w:bCs/>
          <w:sz w:val="28"/>
          <w:szCs w:val="28"/>
        </w:rPr>
        <w:t>署名</w:t>
      </w:r>
    </w:p>
    <w:p>
      <w:pPr>
        <w:spacing w:line="312" w:lineRule="auto"/>
        <w:ind w:firstLine="960" w:firstLineChars="400"/>
        <w:rPr>
          <w:sz w:val="24"/>
          <w:szCs w:val="24"/>
        </w:rPr>
      </w:pPr>
      <w:r>
        <w:rPr>
          <w:sz w:val="24"/>
          <w:szCs w:val="24"/>
        </w:rPr>
        <w:t>制</w:t>
      </w:r>
      <w:r>
        <w:rPr>
          <w:rFonts w:hint="eastAsia"/>
          <w:sz w:val="24"/>
          <w:szCs w:val="24"/>
        </w:rPr>
        <w:t>定</w:t>
      </w:r>
      <w:r>
        <w:rPr>
          <w:sz w:val="24"/>
          <w:szCs w:val="24"/>
        </w:rPr>
        <w:t>人：</w:t>
      </w:r>
      <w:r>
        <w:rPr>
          <w:rFonts w:hint="eastAsia"/>
          <w:sz w:val="24"/>
          <w:szCs w:val="24"/>
        </w:rPr>
        <w:t>张春霞</w:t>
      </w:r>
      <w:r>
        <w:rPr>
          <w:sz w:val="24"/>
          <w:szCs w:val="24"/>
        </w:rPr>
        <w:t xml:space="preserve"> </w:t>
      </w:r>
      <w:r>
        <w:rPr>
          <w:rFonts w:hint="eastAsia"/>
          <w:sz w:val="24"/>
          <w:szCs w:val="24"/>
          <w:lang w:val="en-US"/>
        </w:rPr>
        <w:t xml:space="preserve">                 </w:t>
      </w:r>
      <w:r>
        <w:rPr>
          <w:sz w:val="24"/>
          <w:szCs w:val="24"/>
        </w:rPr>
        <w:t>审核人：</w:t>
      </w:r>
      <w:r>
        <w:rPr>
          <w:rFonts w:hint="eastAsia"/>
          <w:sz w:val="24"/>
          <w:szCs w:val="24"/>
        </w:rPr>
        <w:t>龚芳海 佘学文</w:t>
      </w:r>
    </w:p>
    <w:p>
      <w:pPr>
        <w:spacing w:line="312" w:lineRule="auto"/>
        <w:rPr>
          <w:sz w:val="24"/>
          <w:szCs w:val="24"/>
        </w:rPr>
      </w:pPr>
    </w:p>
    <w:sectPr>
      <w:footerReference r:id="rId3" w:type="default"/>
      <w:pgSz w:w="11910" w:h="16840"/>
      <w:pgMar w:top="1400" w:right="1560" w:bottom="1380" w:left="1580" w:header="0" w:footer="11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49" o:spid="_x0000_s2049" o:spt="202" type="#_x0000_t202" style="position:absolute;left:0pt;margin-left:291.05pt;margin-top:771.15pt;height:11pt;width:13.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203" w:lineRule="exact"/>
                  <w:ind w:left="40"/>
                  <w:rPr>
                    <w:rFonts w:ascii="Calibri"/>
                    <w:sz w:val="18"/>
                  </w:rPr>
                </w:pPr>
                <w:r>
                  <w:fldChar w:fldCharType="begin"/>
                </w:r>
                <w:r>
                  <w:rPr>
                    <w:rFonts w:ascii="Calibri"/>
                    <w:sz w:val="18"/>
                  </w:rPr>
                  <w:instrText xml:space="preserve"> PAGE </w:instrText>
                </w:r>
                <w:r>
                  <w:fldChar w:fldCharType="separate"/>
                </w:r>
                <w:r>
                  <w:rPr>
                    <w:rFonts w:ascii="Calibri"/>
                    <w:sz w:val="18"/>
                  </w:rP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E52DBB"/>
    <w:rsid w:val="00007FB0"/>
    <w:rsid w:val="00012AA7"/>
    <w:rsid w:val="00025324"/>
    <w:rsid w:val="00052C42"/>
    <w:rsid w:val="00076D46"/>
    <w:rsid w:val="000B212A"/>
    <w:rsid w:val="0010771E"/>
    <w:rsid w:val="001A17E4"/>
    <w:rsid w:val="001D3008"/>
    <w:rsid w:val="001F0F98"/>
    <w:rsid w:val="001F4821"/>
    <w:rsid w:val="00205BE3"/>
    <w:rsid w:val="00236FD6"/>
    <w:rsid w:val="0026220C"/>
    <w:rsid w:val="00324818"/>
    <w:rsid w:val="00333BFE"/>
    <w:rsid w:val="00352797"/>
    <w:rsid w:val="00354A2A"/>
    <w:rsid w:val="00365CA7"/>
    <w:rsid w:val="003C39BC"/>
    <w:rsid w:val="003E7E68"/>
    <w:rsid w:val="003F6CB2"/>
    <w:rsid w:val="004028FB"/>
    <w:rsid w:val="004469AB"/>
    <w:rsid w:val="0051348D"/>
    <w:rsid w:val="00535A8C"/>
    <w:rsid w:val="0056206F"/>
    <w:rsid w:val="005824D6"/>
    <w:rsid w:val="00592086"/>
    <w:rsid w:val="005961D2"/>
    <w:rsid w:val="005C4160"/>
    <w:rsid w:val="005C5872"/>
    <w:rsid w:val="005D6E3B"/>
    <w:rsid w:val="005E0AB4"/>
    <w:rsid w:val="00603CBB"/>
    <w:rsid w:val="0061669C"/>
    <w:rsid w:val="0068076A"/>
    <w:rsid w:val="00681060"/>
    <w:rsid w:val="0068766F"/>
    <w:rsid w:val="00696329"/>
    <w:rsid w:val="006A2438"/>
    <w:rsid w:val="006D0914"/>
    <w:rsid w:val="00704F68"/>
    <w:rsid w:val="007133E5"/>
    <w:rsid w:val="00723617"/>
    <w:rsid w:val="00725CB5"/>
    <w:rsid w:val="007A1696"/>
    <w:rsid w:val="007C52D7"/>
    <w:rsid w:val="00813172"/>
    <w:rsid w:val="008425AD"/>
    <w:rsid w:val="008615E3"/>
    <w:rsid w:val="0087685F"/>
    <w:rsid w:val="00883DEF"/>
    <w:rsid w:val="0089403B"/>
    <w:rsid w:val="008B7887"/>
    <w:rsid w:val="008D268B"/>
    <w:rsid w:val="009224AA"/>
    <w:rsid w:val="009C2312"/>
    <w:rsid w:val="009C4904"/>
    <w:rsid w:val="009E7ADE"/>
    <w:rsid w:val="00A04490"/>
    <w:rsid w:val="00A51349"/>
    <w:rsid w:val="00A5504E"/>
    <w:rsid w:val="00A62C2A"/>
    <w:rsid w:val="00A9209B"/>
    <w:rsid w:val="00A97AFA"/>
    <w:rsid w:val="00AC7D00"/>
    <w:rsid w:val="00B17DDB"/>
    <w:rsid w:val="00B2659B"/>
    <w:rsid w:val="00BB5B51"/>
    <w:rsid w:val="00BB5FC2"/>
    <w:rsid w:val="00BE3B10"/>
    <w:rsid w:val="00C0152E"/>
    <w:rsid w:val="00C02616"/>
    <w:rsid w:val="00C05A41"/>
    <w:rsid w:val="00C13F8D"/>
    <w:rsid w:val="00C36138"/>
    <w:rsid w:val="00C726C7"/>
    <w:rsid w:val="00D03663"/>
    <w:rsid w:val="00D2571B"/>
    <w:rsid w:val="00D3510D"/>
    <w:rsid w:val="00D52DBF"/>
    <w:rsid w:val="00D818B9"/>
    <w:rsid w:val="00D83D68"/>
    <w:rsid w:val="00DE69C2"/>
    <w:rsid w:val="00DE6DC9"/>
    <w:rsid w:val="00E037D5"/>
    <w:rsid w:val="00E469AB"/>
    <w:rsid w:val="00E52DBB"/>
    <w:rsid w:val="00E67A46"/>
    <w:rsid w:val="00E67A76"/>
    <w:rsid w:val="00E83198"/>
    <w:rsid w:val="00EA5467"/>
    <w:rsid w:val="00EA7CFD"/>
    <w:rsid w:val="00EC6F9D"/>
    <w:rsid w:val="00ED055E"/>
    <w:rsid w:val="00F22E55"/>
    <w:rsid w:val="00F23DFC"/>
    <w:rsid w:val="00F636E4"/>
    <w:rsid w:val="00FB1D0A"/>
    <w:rsid w:val="00FB7025"/>
    <w:rsid w:val="00FC6C6F"/>
    <w:rsid w:val="00FD191D"/>
    <w:rsid w:val="00FD4DD3"/>
    <w:rsid w:val="00FE4979"/>
    <w:rsid w:val="23AE7012"/>
    <w:rsid w:val="27D0388D"/>
    <w:rsid w:val="34016382"/>
    <w:rsid w:val="535F4768"/>
    <w:rsid w:val="5BB73ED4"/>
    <w:rsid w:val="5CFB7B55"/>
    <w:rsid w:val="78C83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947" w:hanging="728"/>
      <w:outlineLvl w:val="0"/>
    </w:pPr>
    <w:rPr>
      <w:b/>
      <w:bCs/>
      <w:sz w:val="24"/>
      <w:szCs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Balloon Text"/>
    <w:basedOn w:val="1"/>
    <w:link w:val="14"/>
    <w:uiPriority w:val="0"/>
    <w:rPr>
      <w:sz w:val="18"/>
      <w:szCs w:val="18"/>
    </w:rPr>
  </w:style>
  <w:style w:type="paragraph" w:styleId="5">
    <w:name w:val="footer"/>
    <w:basedOn w:val="1"/>
    <w:link w:val="13"/>
    <w:uiPriority w:val="0"/>
    <w:pPr>
      <w:tabs>
        <w:tab w:val="center" w:pos="4153"/>
        <w:tab w:val="right" w:pos="8306"/>
      </w:tabs>
      <w:snapToGrid w:val="0"/>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ind w:left="220" w:hanging="728"/>
    </w:pPr>
  </w:style>
  <w:style w:type="paragraph" w:customStyle="1" w:styleId="11">
    <w:name w:val="Table Paragraph"/>
    <w:basedOn w:val="1"/>
    <w:qFormat/>
    <w:uiPriority w:val="1"/>
  </w:style>
  <w:style w:type="character" w:customStyle="1" w:styleId="12">
    <w:name w:val="页眉 Char"/>
    <w:basedOn w:val="8"/>
    <w:link w:val="6"/>
    <w:uiPriority w:val="0"/>
    <w:rPr>
      <w:rFonts w:ascii="宋体" w:hAnsi="宋体" w:cs="宋体"/>
      <w:sz w:val="18"/>
      <w:szCs w:val="18"/>
      <w:lang w:val="zh-CN" w:bidi="zh-CN"/>
    </w:rPr>
  </w:style>
  <w:style w:type="character" w:customStyle="1" w:styleId="13">
    <w:name w:val="页脚 Char"/>
    <w:basedOn w:val="8"/>
    <w:link w:val="5"/>
    <w:uiPriority w:val="0"/>
    <w:rPr>
      <w:rFonts w:ascii="宋体" w:hAnsi="宋体" w:cs="宋体"/>
      <w:sz w:val="18"/>
      <w:szCs w:val="18"/>
      <w:lang w:val="zh-CN" w:bidi="zh-CN"/>
    </w:rPr>
  </w:style>
  <w:style w:type="character" w:customStyle="1" w:styleId="14">
    <w:name w:val="批注框文本 Char"/>
    <w:basedOn w:val="8"/>
    <w:link w:val="4"/>
    <w:uiPriority w:val="0"/>
    <w:rPr>
      <w:rFonts w:ascii="宋体" w:hAnsi="宋体" w:cs="宋体"/>
      <w:sz w:val="18"/>
      <w:szCs w:val="18"/>
      <w:lang w:val="zh-CN" w:bidi="zh-CN"/>
    </w:rPr>
  </w:style>
  <w:style w:type="paragraph" w:customStyle="1" w:styleId="15">
    <w:name w:val="样式1"/>
    <w:basedOn w:val="1"/>
    <w:qFormat/>
    <w:uiPriority w:val="0"/>
    <w:pPr>
      <w:jc w:val="center"/>
    </w:pPr>
    <w:rPr>
      <w:rFonts w:cs="Times New Roman"/>
      <w:b/>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38468;&#20214;4&#65306;&#24102;&#31661;&#22836;&#38647;&#36798;&#22270;_&#30005;&#23376;&#20449;&#24687;18.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12494094488189"/>
          <c:y val="0.152050524934383"/>
          <c:w val="0.4100395888014"/>
          <c:h val="0.703260425780111"/>
        </c:manualLayout>
      </c:layout>
      <c:radarChart>
        <c:radarStyle val="filled"/>
        <c:varyColors val="0"/>
        <c:ser>
          <c:idx val="0"/>
          <c:order val="0"/>
          <c:spPr>
            <a:solidFill>
              <a:srgbClr val="FF9900"/>
            </a:solidFill>
            <a:ln>
              <a:noFill/>
            </a:ln>
          </c:spPr>
          <c:dLbls>
            <c:dLbl>
              <c:idx val="0"/>
              <c:layout>
                <c:manualLayout>
                  <c:x val="0.0361111111111111"/>
                  <c:y val="0.032407407407407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29.6</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277777777777778"/>
                  <c:y val="0.064814814814814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22.1</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454548676637816"/>
                  <c:y val="0.0119001929585482"/>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38.4</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361111111111111"/>
                  <c:y val="-0.00462962962962963"/>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14.5</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0.0555555555555555"/>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en-US"/>
                      <a:t>9.4</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'[附件4：带箭头雷达图_电子信息18.xls]Sheet1'!$B$3:$B$7</c:f>
              <c:strCache>
                <c:ptCount val="5"/>
                <c:pt idx="0">
                  <c:v>专业知识
Specialized Knowledge</c:v>
                </c:pt>
                <c:pt idx="1">
                  <c:v>广泛和融合的知识
Broad and Integrative Knowledge</c:v>
                </c:pt>
                <c:pt idx="2">
                  <c:v>智力技能
Intellectual Skills</c:v>
                </c:pt>
                <c:pt idx="3">
                  <c:v>应用和协作学习
Applied and Collaborative Learning</c:v>
                </c:pt>
                <c:pt idx="4">
                  <c:v>公民和全球学习
Civic and Global Learning</c:v>
                </c:pt>
              </c:strCache>
            </c:strRef>
          </c:cat>
          <c:val>
            <c:numRef>
              <c:f>'[附件4：带箭头雷达图_电子信息18.xls]Sheet1'!$C$3:$C$7</c:f>
              <c:numCache>
                <c:formatCode>General</c:formatCode>
                <c:ptCount val="5"/>
                <c:pt idx="0">
                  <c:v>30.1</c:v>
                </c:pt>
                <c:pt idx="1">
                  <c:v>20.4</c:v>
                </c:pt>
                <c:pt idx="2">
                  <c:v>34.3</c:v>
                </c:pt>
                <c:pt idx="3">
                  <c:v>13.2</c:v>
                </c:pt>
                <c:pt idx="4">
                  <c:v>15</c:v>
                </c:pt>
              </c:numCache>
            </c:numRef>
          </c:val>
        </c:ser>
        <c:dLbls>
          <c:showLegendKey val="0"/>
          <c:showVal val="0"/>
          <c:showCatName val="0"/>
          <c:showSerName val="0"/>
          <c:showPercent val="0"/>
          <c:showBubbleSize val="0"/>
        </c:dLbls>
        <c:axId val="140920320"/>
        <c:axId val="140921856"/>
      </c:radarChart>
      <c:catAx>
        <c:axId val="140920320"/>
        <c:scaling>
          <c:orientation val="minMax"/>
        </c:scaling>
        <c:delete val="0"/>
        <c:axPos val="b"/>
        <c:majorGridlines/>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40921856"/>
        <c:crosses val="autoZero"/>
        <c:auto val="1"/>
        <c:lblAlgn val="ctr"/>
        <c:lblOffset val="100"/>
        <c:noMultiLvlLbl val="0"/>
      </c:catAx>
      <c:valAx>
        <c:axId val="140921856"/>
        <c:scaling>
          <c:orientation val="minMax"/>
          <c:max val="40"/>
          <c:min val="0"/>
        </c:scaling>
        <c:delete val="0"/>
        <c:axPos val="l"/>
        <c:numFmt formatCode="General" sourceLinked="0"/>
        <c:majorTickMark val="none"/>
        <c:minorTickMark val="none"/>
        <c:tickLblPos val="nextTo"/>
        <c:spPr>
          <a:noFill/>
          <a:ln w="12700" cap="flat" cmpd="sng" algn="ctr">
            <a:solidFill>
              <a:schemeClr val="tx1"/>
            </a:solidFill>
            <a:prstDash val="solid"/>
            <a:round/>
            <a:tailEnd type="stealth" w="lg" len="lg"/>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40920320"/>
        <c:crosses val="autoZero"/>
        <c:crossBetween val="between"/>
        <c:majorUnit val="5"/>
      </c:valAx>
      <c:spPr>
        <a:solidFill>
          <a:schemeClr val="bg2"/>
        </a:solidFill>
      </c:spPr>
    </c:plotArea>
    <c:plotVisOnly val="1"/>
    <c:dispBlanksAs val="gap"/>
    <c:showDLblsOverMax val="0"/>
  </c:chart>
  <c:txPr>
    <a:bodyPr wrap="square"/>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6567</Words>
  <Characters>7479</Characters>
  <Lines>58</Lines>
  <Paragraphs>16</Paragraphs>
  <TotalTime>221</TotalTime>
  <ScaleCrop>false</ScaleCrop>
  <LinksUpToDate>false</LinksUpToDate>
  <CharactersWithSpaces>7641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2020-06-24T00:31:00Z</dcterms:created>
  <dc:creator>Administrator</dc:creator>
  <cp:lastModifiedBy>透明的鱼</cp:lastModifiedBy>
  <dcterms:modified xsi:type="dcterms:W3CDTF">2022-04-14T16:48:35Z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2019-07-11T00:00:00Z</vt:filetime>
  </property>
  <property fmtid="{D5CDD505-2E9C-101B-9397-08002B2CF9AE}" pid="3" name="Creator">
    <vt:lpwstr>Microsoft® Word 2010</vt:lpwstr>
  </property>
  <property fmtid="{D5CDD505-2E9C-101B-9397-08002B2CF9AE}" pid="4" name="LastSaved">
    <vt:filetime>2020-06-24T00:00:00Z</vt:filetime>
  </property>
  <property fmtid="{D5CDD505-2E9C-101B-9397-08002B2CF9AE}" pid="5" name="KSOProductBuildVer">
    <vt:lpwstr>2052-11.1.0.11636</vt:lpwstr>
  </property>
  <property fmtid="{D5CDD505-2E9C-101B-9397-08002B2CF9AE}" pid="6" name="ICV">
    <vt:lpwstr>49A6BE9642CF44849A420E0EE4F5162E</vt:lpwstr>
  </property>
  <property fmtid="{D5CDD505-2E9C-101B-9397-08002B2CF9AE}" pid="7" name="commondata">
    <vt:lpwstr>eyJoZGlkIjoiOGJiM2VlMGI1Y2Y0YTA1ZDljOTc5MTFmMmVjNmE3NjEifQ==</vt:lpwstr>
  </property>
</Properties>
</file>